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jc w:val="center"/>
        <w:tblInd w:w="-318" w:type="dxa"/>
        <w:tblLook w:val="01E0"/>
      </w:tblPr>
      <w:tblGrid>
        <w:gridCol w:w="5246"/>
        <w:gridCol w:w="5245"/>
      </w:tblGrid>
      <w:tr w:rsidR="0096496E" w:rsidRPr="00295550" w:rsidTr="009F7BDE">
        <w:trPr>
          <w:jc w:val="center"/>
        </w:trPr>
        <w:tc>
          <w:tcPr>
            <w:tcW w:w="5246" w:type="dxa"/>
          </w:tcPr>
          <w:p w:rsidR="0096496E" w:rsidRPr="00810731" w:rsidRDefault="00C45D51" w:rsidP="005513E5">
            <w:pPr>
              <w:spacing w:line="264" w:lineRule="auto"/>
              <w:jc w:val="center"/>
              <w:rPr>
                <w:rFonts w:ascii="Arial" w:hAnsi="Arial" w:cs="Arial"/>
                <w:sz w:val="24"/>
                <w:szCs w:val="24"/>
                <w:lang w:val="pt-BR"/>
              </w:rPr>
            </w:pPr>
            <w:r w:rsidRPr="00810731">
              <w:rPr>
                <w:sz w:val="24"/>
                <w:szCs w:val="24"/>
                <w:lang w:val="pt-BR"/>
              </w:rPr>
              <w:t>TỔNG LIÊN ĐOÀN LAO ĐỘNG VIỆT NAM</w:t>
            </w:r>
          </w:p>
        </w:tc>
        <w:tc>
          <w:tcPr>
            <w:tcW w:w="5245" w:type="dxa"/>
          </w:tcPr>
          <w:p w:rsidR="0096496E" w:rsidRPr="005513E5" w:rsidRDefault="00C45D51" w:rsidP="005B3AE3">
            <w:pPr>
              <w:spacing w:line="264" w:lineRule="auto"/>
              <w:jc w:val="center"/>
              <w:rPr>
                <w:rFonts w:ascii=".VnTimeH" w:hAnsi=".VnTimeH"/>
                <w:b/>
                <w:sz w:val="24"/>
                <w:szCs w:val="24"/>
                <w:lang w:val="pt-BR"/>
              </w:rPr>
            </w:pPr>
            <w:r w:rsidRPr="005513E5">
              <w:rPr>
                <w:b/>
                <w:sz w:val="24"/>
                <w:szCs w:val="24"/>
                <w:lang w:val="pt-BR"/>
              </w:rPr>
              <w:t>CỘNG HÒA XÃ HỘI CHỦ NGHĨA VIỆT NAM</w:t>
            </w:r>
          </w:p>
        </w:tc>
      </w:tr>
      <w:tr w:rsidR="0096496E" w:rsidRPr="00295550" w:rsidTr="009F7BDE">
        <w:trPr>
          <w:jc w:val="center"/>
        </w:trPr>
        <w:tc>
          <w:tcPr>
            <w:tcW w:w="5246" w:type="dxa"/>
          </w:tcPr>
          <w:p w:rsidR="0096496E" w:rsidRPr="005513E5" w:rsidRDefault="00082BAD" w:rsidP="005B3AE3">
            <w:pPr>
              <w:spacing w:line="264" w:lineRule="auto"/>
              <w:jc w:val="center"/>
              <w:rPr>
                <w:b/>
                <w:sz w:val="24"/>
                <w:szCs w:val="24"/>
              </w:rPr>
            </w:pPr>
            <w:r w:rsidRPr="00082BAD">
              <w:rPr>
                <w:b/>
                <w:noProof/>
                <w:color w:val="000000"/>
                <w:szCs w:val="28"/>
              </w:rPr>
              <w:pict>
                <v:shapetype id="_x0000_t32" coordsize="21600,21600" o:spt="32" o:oned="t" path="m,l21600,21600e" filled="f">
                  <v:path arrowok="t" fillok="f" o:connecttype="none"/>
                  <o:lock v:ext="edit" shapetype="t"/>
                </v:shapetype>
                <v:shape id="_x0000_s1028" type="#_x0000_t32" style="position:absolute;left:0;text-align:left;margin-left:9.1pt;margin-top:16.15pt;width:234pt;height:.05pt;flip:y;z-index:251660288;mso-position-horizontal-relative:text;mso-position-vertical-relative:text" o:connectortype="straight"/>
              </w:pict>
            </w:r>
            <w:r w:rsidR="005513E5" w:rsidRPr="005513E5">
              <w:rPr>
                <w:b/>
                <w:sz w:val="24"/>
                <w:szCs w:val="24"/>
              </w:rPr>
              <w:t>CÔNG ĐOÀN CÔNG THƯƠNG V</w:t>
            </w:r>
            <w:r w:rsidR="00810731">
              <w:rPr>
                <w:b/>
                <w:sz w:val="24"/>
                <w:szCs w:val="24"/>
              </w:rPr>
              <w:t xml:space="preserve">IỆT </w:t>
            </w:r>
            <w:r w:rsidR="005513E5" w:rsidRPr="005513E5">
              <w:rPr>
                <w:b/>
                <w:sz w:val="24"/>
                <w:szCs w:val="24"/>
              </w:rPr>
              <w:t>N</w:t>
            </w:r>
            <w:r w:rsidR="00810731">
              <w:rPr>
                <w:b/>
                <w:sz w:val="24"/>
                <w:szCs w:val="24"/>
              </w:rPr>
              <w:t>AM</w:t>
            </w:r>
          </w:p>
        </w:tc>
        <w:tc>
          <w:tcPr>
            <w:tcW w:w="5245" w:type="dxa"/>
          </w:tcPr>
          <w:p w:rsidR="0096496E" w:rsidRPr="00295550" w:rsidRDefault="00082BAD" w:rsidP="005B3AE3">
            <w:pPr>
              <w:spacing w:line="264" w:lineRule="auto"/>
              <w:jc w:val="center"/>
              <w:rPr>
                <w:b/>
                <w:lang w:val="pt-BR"/>
              </w:rPr>
            </w:pPr>
            <w:r w:rsidRPr="00082BAD">
              <w:rPr>
                <w:b/>
                <w:noProof/>
                <w:color w:val="000000"/>
                <w:szCs w:val="28"/>
              </w:rPr>
              <w:pict>
                <v:shape id="_x0000_s1029" type="#_x0000_t32" style="position:absolute;left:0;text-align:left;margin-left:35.55pt;margin-top:16.9pt;width:180pt;height:.05pt;z-index:251661312;mso-position-horizontal-relative:text;mso-position-vertical-relative:text" o:connectortype="straight"/>
              </w:pict>
            </w:r>
            <w:r w:rsidR="0096496E" w:rsidRPr="00295550">
              <w:rPr>
                <w:b/>
                <w:lang w:val="pt-BR"/>
              </w:rPr>
              <w:t xml:space="preserve">Độc lập </w:t>
            </w:r>
            <w:r w:rsidR="0096496E" w:rsidRPr="00295550">
              <w:rPr>
                <w:rFonts w:cs="Arial"/>
                <w:b/>
                <w:lang w:val="pt-BR"/>
              </w:rPr>
              <w:t>–</w:t>
            </w:r>
            <w:r w:rsidR="0096496E" w:rsidRPr="00295550">
              <w:rPr>
                <w:b/>
                <w:lang w:val="pt-BR"/>
              </w:rPr>
              <w:t xml:space="preserve"> Tự do </w:t>
            </w:r>
            <w:r w:rsidR="0096496E" w:rsidRPr="00295550">
              <w:rPr>
                <w:rFonts w:cs="Arial"/>
                <w:b/>
                <w:lang w:val="pt-BR"/>
              </w:rPr>
              <w:t>–</w:t>
            </w:r>
            <w:r w:rsidR="0096496E" w:rsidRPr="00295550">
              <w:rPr>
                <w:b/>
                <w:lang w:val="pt-BR"/>
              </w:rPr>
              <w:t xml:space="preserve"> Hạnh phúc</w:t>
            </w:r>
          </w:p>
        </w:tc>
      </w:tr>
      <w:tr w:rsidR="0096496E" w:rsidRPr="00295550" w:rsidTr="009F7BDE">
        <w:trPr>
          <w:jc w:val="center"/>
        </w:trPr>
        <w:tc>
          <w:tcPr>
            <w:tcW w:w="5246" w:type="dxa"/>
          </w:tcPr>
          <w:p w:rsidR="0096496E" w:rsidRPr="00295550" w:rsidRDefault="0096496E" w:rsidP="005B3AE3">
            <w:pPr>
              <w:spacing w:line="264" w:lineRule="auto"/>
              <w:jc w:val="center"/>
              <w:rPr>
                <w:sz w:val="20"/>
                <w:szCs w:val="20"/>
              </w:rPr>
            </w:pPr>
            <w:r w:rsidRPr="00295550">
              <w:rPr>
                <w:sz w:val="20"/>
                <w:szCs w:val="20"/>
              </w:rPr>
              <w:t xml:space="preserve">  </w:t>
            </w:r>
          </w:p>
        </w:tc>
        <w:tc>
          <w:tcPr>
            <w:tcW w:w="5245" w:type="dxa"/>
          </w:tcPr>
          <w:p w:rsidR="0096496E" w:rsidRPr="00295550" w:rsidRDefault="0096496E" w:rsidP="00773C8B">
            <w:pPr>
              <w:spacing w:line="264" w:lineRule="auto"/>
              <w:jc w:val="center"/>
              <w:rPr>
                <w:b/>
                <w:sz w:val="20"/>
                <w:szCs w:val="20"/>
              </w:rPr>
            </w:pPr>
          </w:p>
        </w:tc>
      </w:tr>
      <w:tr w:rsidR="0096496E" w:rsidRPr="00295550" w:rsidTr="009F7BDE">
        <w:trPr>
          <w:jc w:val="center"/>
        </w:trPr>
        <w:tc>
          <w:tcPr>
            <w:tcW w:w="5246" w:type="dxa"/>
          </w:tcPr>
          <w:p w:rsidR="0096496E" w:rsidRDefault="00C45D51" w:rsidP="003F7465">
            <w:pPr>
              <w:spacing w:line="264" w:lineRule="auto"/>
              <w:jc w:val="center"/>
            </w:pPr>
            <w:r w:rsidRPr="00295550">
              <w:t>S</w:t>
            </w:r>
            <w:r>
              <w:t xml:space="preserve">ố: </w:t>
            </w:r>
            <w:r w:rsidR="003F7465">
              <w:t xml:space="preserve">   </w:t>
            </w:r>
            <w:r w:rsidR="008E3901">
              <w:t>279</w:t>
            </w:r>
            <w:r w:rsidR="003F7465">
              <w:t xml:space="preserve">   </w:t>
            </w:r>
            <w:r>
              <w:t>/</w:t>
            </w:r>
            <w:r w:rsidRPr="005513E5">
              <w:t>CĐCT</w:t>
            </w:r>
          </w:p>
          <w:p w:rsidR="007F40BD" w:rsidRPr="007F40BD" w:rsidRDefault="007F40BD" w:rsidP="007F40BD">
            <w:pPr>
              <w:jc w:val="center"/>
              <w:rPr>
                <w:rFonts w:eastAsia="Calibri"/>
                <w:i/>
                <w:sz w:val="24"/>
                <w:szCs w:val="24"/>
              </w:rPr>
            </w:pPr>
            <w:r w:rsidRPr="007F40BD">
              <w:rPr>
                <w:i/>
                <w:sz w:val="24"/>
                <w:szCs w:val="24"/>
              </w:rPr>
              <w:t>V/v</w:t>
            </w:r>
            <w:r w:rsidRPr="007F40BD">
              <w:rPr>
                <w:rFonts w:eastAsia="Calibri"/>
                <w:i/>
                <w:sz w:val="24"/>
                <w:szCs w:val="24"/>
              </w:rPr>
              <w:t xml:space="preserve"> tuyên truyền, phổ biến pháp luật trong CNVCLĐ năm 2019</w:t>
            </w:r>
          </w:p>
          <w:p w:rsidR="007F40BD" w:rsidRPr="005513E5" w:rsidRDefault="007F40BD" w:rsidP="003F7465">
            <w:pPr>
              <w:spacing w:line="264" w:lineRule="auto"/>
              <w:jc w:val="center"/>
              <w:rPr>
                <w:rFonts w:ascii="Arial" w:hAnsi="Arial" w:cs="Arial"/>
                <w:sz w:val="26"/>
              </w:rPr>
            </w:pPr>
          </w:p>
        </w:tc>
        <w:tc>
          <w:tcPr>
            <w:tcW w:w="5245" w:type="dxa"/>
          </w:tcPr>
          <w:p w:rsidR="0096496E" w:rsidRPr="00295550" w:rsidRDefault="0096496E" w:rsidP="0074378C">
            <w:pPr>
              <w:spacing w:line="264" w:lineRule="auto"/>
              <w:jc w:val="center"/>
              <w:rPr>
                <w:i/>
              </w:rPr>
            </w:pPr>
            <w:r w:rsidRPr="00295550">
              <w:rPr>
                <w:i/>
              </w:rPr>
              <w:t>Hà Nộ</w:t>
            </w:r>
            <w:r w:rsidR="008E3901">
              <w:rPr>
                <w:i/>
              </w:rPr>
              <w:t>i, ngày</w:t>
            </w:r>
            <w:r w:rsidR="000E66BF">
              <w:rPr>
                <w:i/>
              </w:rPr>
              <w:t xml:space="preserve"> </w:t>
            </w:r>
            <w:r w:rsidR="008E3901">
              <w:rPr>
                <w:i/>
              </w:rPr>
              <w:t>30</w:t>
            </w:r>
            <w:r w:rsidR="0092772F">
              <w:rPr>
                <w:i/>
              </w:rPr>
              <w:t xml:space="preserve"> </w:t>
            </w:r>
            <w:r w:rsidR="008E3901">
              <w:rPr>
                <w:i/>
              </w:rPr>
              <w:t>tháng</w:t>
            </w:r>
            <w:r w:rsidR="0074378C">
              <w:rPr>
                <w:i/>
              </w:rPr>
              <w:t xml:space="preserve"> 05</w:t>
            </w:r>
            <w:r w:rsidRPr="00295550">
              <w:rPr>
                <w:i/>
              </w:rPr>
              <w:t xml:space="preserve"> năm 201</w:t>
            </w:r>
            <w:r w:rsidR="00773C8B">
              <w:rPr>
                <w:i/>
              </w:rPr>
              <w:t>9</w:t>
            </w:r>
          </w:p>
        </w:tc>
      </w:tr>
    </w:tbl>
    <w:p w:rsidR="0074378C" w:rsidRPr="00BD7092" w:rsidRDefault="0074378C" w:rsidP="0074378C">
      <w:pPr>
        <w:tabs>
          <w:tab w:val="left" w:pos="0"/>
        </w:tabs>
        <w:jc w:val="center"/>
      </w:pPr>
      <w:r w:rsidRPr="0074378C">
        <w:rPr>
          <w:b/>
        </w:rPr>
        <w:t>Kính gửi:</w:t>
      </w:r>
      <w:r w:rsidRPr="00BD7092">
        <w:t xml:space="preserve"> Các </w:t>
      </w:r>
      <w:r>
        <w:t>C</w:t>
      </w:r>
      <w:r w:rsidRPr="00BD7092">
        <w:t xml:space="preserve">ông đoàn </w:t>
      </w:r>
      <w:r>
        <w:t xml:space="preserve">Cấp trên cơ sở và công đoàn cơ sở </w:t>
      </w:r>
      <w:r w:rsidRPr="00BD7092">
        <w:t>trực thuộc</w:t>
      </w:r>
      <w:r>
        <w:br/>
      </w:r>
      <w:r w:rsidRPr="00BD7092">
        <w:t xml:space="preserve"> Công đoàn </w:t>
      </w:r>
      <w:r>
        <w:t>Công Thương</w:t>
      </w:r>
      <w:r w:rsidRPr="00BD7092">
        <w:t xml:space="preserve"> Việt Nam </w:t>
      </w:r>
    </w:p>
    <w:p w:rsidR="0074378C" w:rsidRDefault="0074378C" w:rsidP="0074378C">
      <w:pPr>
        <w:spacing w:before="120"/>
        <w:jc w:val="both"/>
      </w:pPr>
    </w:p>
    <w:p w:rsidR="0074378C" w:rsidRPr="00F013BA" w:rsidRDefault="0074378C" w:rsidP="0074378C">
      <w:pPr>
        <w:spacing w:before="120"/>
        <w:ind w:firstLine="720"/>
        <w:jc w:val="both"/>
      </w:pPr>
      <w:r w:rsidRPr="00F013BA">
        <w:t xml:space="preserve">Thực hiện Công văn số </w:t>
      </w:r>
      <w:r>
        <w:t>570</w:t>
      </w:r>
      <w:r w:rsidRPr="00F013BA">
        <w:t xml:space="preserve">/TLĐ ngày </w:t>
      </w:r>
      <w:r>
        <w:t>19/4/2019</w:t>
      </w:r>
      <w:r w:rsidRPr="00F013BA">
        <w:t xml:space="preserve"> của Tổng Liên đoàn Lao động Việt Nam</w:t>
      </w:r>
      <w:r>
        <w:t xml:space="preserve"> (TLĐ)</w:t>
      </w:r>
      <w:r w:rsidRPr="00F013BA">
        <w:t xml:space="preserve"> về tuyên truyền, phổ biến pháp luật</w:t>
      </w:r>
      <w:r>
        <w:t xml:space="preserve"> trong công nhân viên chức lao động (CNVCLĐ)</w:t>
      </w:r>
      <w:r w:rsidRPr="00F013BA">
        <w:t xml:space="preserve"> năm 201</w:t>
      </w:r>
      <w:r>
        <w:t>9</w:t>
      </w:r>
      <w:r w:rsidRPr="00F013BA">
        <w:t xml:space="preserve">, </w:t>
      </w:r>
      <w:r>
        <w:t xml:space="preserve">Công đoàn Công Thương Việt Nam </w:t>
      </w:r>
      <w:r w:rsidRPr="00F013BA">
        <w:t xml:space="preserve">triển khai thực hiện một số </w:t>
      </w:r>
      <w:r>
        <w:t>nội dung như</w:t>
      </w:r>
      <w:r w:rsidRPr="00F013BA">
        <w:t xml:space="preserve"> sau:</w:t>
      </w:r>
    </w:p>
    <w:p w:rsidR="0074378C" w:rsidRDefault="0074378C" w:rsidP="0074378C">
      <w:pPr>
        <w:spacing w:before="120"/>
        <w:ind w:firstLine="720"/>
        <w:jc w:val="both"/>
      </w:pPr>
      <w:r>
        <w:t>1.</w:t>
      </w:r>
      <w:r w:rsidRPr="00F013BA">
        <w:t xml:space="preserve"> Tuyên truyền, vận động đoàn viên và người lao động chủ động tìm hiểu chủ trương, đường lối của Đảng, chế độ, chính sách, pháp luật của Nhà nước góp phần nâng cao ý thức pháp luật, trách nhiệm công dân, sống và làm việc theo Hiến pháp và pháp luật.</w:t>
      </w:r>
    </w:p>
    <w:p w:rsidR="0074378C" w:rsidRPr="00F013BA" w:rsidRDefault="0074378C" w:rsidP="0074378C">
      <w:pPr>
        <w:spacing w:before="120"/>
        <w:ind w:firstLine="720"/>
        <w:jc w:val="both"/>
      </w:pPr>
      <w:r>
        <w:t>- Tuyên truyền tới đoàn viên và người lao động về những thời cơ, thách thức, sự cần thiết phải đổi mới hoạt động công đoàn trong bối cảnh Hiệp định Đối tác Toàn diện và Tiến bộ xuyên Thái Bình Dương (CPTPP) đã chính thức có hiệu lực.</w:t>
      </w:r>
    </w:p>
    <w:p w:rsidR="0074378C" w:rsidRPr="00F013BA" w:rsidRDefault="0074378C" w:rsidP="0074378C">
      <w:pPr>
        <w:spacing w:before="120"/>
        <w:ind w:firstLine="720"/>
        <w:jc w:val="both"/>
      </w:pPr>
      <w:r w:rsidRPr="00F013BA">
        <w:t xml:space="preserve">- </w:t>
      </w:r>
      <w:r>
        <w:t>T</w:t>
      </w:r>
      <w:r w:rsidRPr="00F013BA">
        <w:t>uyên truyền, phổ biến các văn bản pháp luật liên quan trực tiếp đến quyền và lợi ích hợp pháp, chính đáng của người lao động như: Bộ luật Lao động năm 2012, Luật Công đoàn 2012, Luật Bảo hiểm xã hội 2014, Luật Bảo hiểm y tế 2014, Luật An toàn vệ sinh lao động…</w:t>
      </w:r>
    </w:p>
    <w:p w:rsidR="0074378C" w:rsidRDefault="0074378C" w:rsidP="0074378C">
      <w:pPr>
        <w:spacing w:before="120"/>
        <w:ind w:firstLine="720"/>
        <w:jc w:val="both"/>
      </w:pPr>
      <w:r>
        <w:t xml:space="preserve">- Riêng đối với cán bộ, công chức, viên chức, tập trung tuyên truyền, phổ biến các văn bản luật về phòng chống tham nhũng, lãng phí, khiếu nại, tố cáo; một số </w:t>
      </w:r>
      <w:r w:rsidR="000E66BF">
        <w:t>L</w:t>
      </w:r>
      <w:r>
        <w:t>uật</w:t>
      </w:r>
      <w:r w:rsidR="000E66BF">
        <w:t>,</w:t>
      </w:r>
      <w:r>
        <w:t xml:space="preserve"> </w:t>
      </w:r>
      <w:r w:rsidR="000E66BF">
        <w:t>N</w:t>
      </w:r>
      <w:r>
        <w:t xml:space="preserve">ghị quyết được thông qua tại kỳ họp thứ 6, Quốc hội khóa XIV; tuyên truyền, phổ biến nội dung công ước chống tra tấn, pháp luật Việt Nam về phòng, chống tra tấn (theo </w:t>
      </w:r>
      <w:r w:rsidR="000E66BF">
        <w:t>Q</w:t>
      </w:r>
      <w:r>
        <w:t>uyết định số 65/QĐ-TTg ngày 12/01/2018 của Thủ tướng chính phủ).</w:t>
      </w:r>
    </w:p>
    <w:p w:rsidR="0074378C" w:rsidRDefault="0074378C" w:rsidP="0074378C">
      <w:pPr>
        <w:spacing w:before="120"/>
        <w:ind w:firstLine="720"/>
        <w:jc w:val="both"/>
      </w:pPr>
      <w:r>
        <w:t xml:space="preserve">2. </w:t>
      </w:r>
      <w:r w:rsidRPr="00656229">
        <w:t>Tập huấn bồi dưỡng kiến thức kỹ năng nghiệp vụ cho cán bộ công đoàn làm công tác tuyên truyền</w:t>
      </w:r>
      <w:r>
        <w:t>,</w:t>
      </w:r>
      <w:r w:rsidRPr="00656229">
        <w:t xml:space="preserve"> phổ biến pháp luật</w:t>
      </w:r>
      <w:r>
        <w:t>;</w:t>
      </w:r>
      <w:r w:rsidRPr="00656229">
        <w:t xml:space="preserve"> củng cố bồi dưỡng nâng cao hiệu quả hoạt động của </w:t>
      </w:r>
      <w:r>
        <w:t>đ</w:t>
      </w:r>
      <w:r w:rsidRPr="00656229">
        <w:t>ội ngũ báo cáo viên pháp luật</w:t>
      </w:r>
      <w:r>
        <w:t>,</w:t>
      </w:r>
      <w:r w:rsidRPr="00656229">
        <w:t xml:space="preserve"> cán bộ </w:t>
      </w:r>
      <w:r>
        <w:t>c</w:t>
      </w:r>
      <w:r w:rsidRPr="00656229">
        <w:t xml:space="preserve">ông </w:t>
      </w:r>
      <w:r>
        <w:t>đ</w:t>
      </w:r>
      <w:r w:rsidRPr="00656229">
        <w:t>oàn làm công tác tư vấn pháp luật</w:t>
      </w:r>
      <w:r>
        <w:t>;</w:t>
      </w:r>
      <w:r w:rsidRPr="00656229">
        <w:t xml:space="preserve"> tập hợp</w:t>
      </w:r>
      <w:r>
        <w:t>,</w:t>
      </w:r>
      <w:r w:rsidRPr="00656229">
        <w:t xml:space="preserve"> đề xuất xây dựng chính sách pháp luật liên quan đến quyền và lợi ích đoàn viên người lao động như chính sách tiền lương</w:t>
      </w:r>
      <w:r>
        <w:t>, sửa đổi, bổ sung bộ L</w:t>
      </w:r>
      <w:r w:rsidRPr="00656229">
        <w:t xml:space="preserve">uật </w:t>
      </w:r>
      <w:r>
        <w:t>L</w:t>
      </w:r>
      <w:r w:rsidRPr="00656229">
        <w:t>ao động</w:t>
      </w:r>
      <w:r>
        <w:t>,</w:t>
      </w:r>
      <w:r w:rsidRPr="00656229">
        <w:t xml:space="preserve"> </w:t>
      </w:r>
      <w:r>
        <w:t>L</w:t>
      </w:r>
      <w:r w:rsidRPr="00656229">
        <w:t>uật công đoàn</w:t>
      </w:r>
      <w:r>
        <w:t>…</w:t>
      </w:r>
    </w:p>
    <w:p w:rsidR="0074378C" w:rsidRPr="00656229" w:rsidRDefault="0074378C" w:rsidP="0074378C">
      <w:pPr>
        <w:spacing w:before="120"/>
        <w:ind w:firstLine="720"/>
        <w:jc w:val="both"/>
      </w:pPr>
      <w:r>
        <w:t>T</w:t>
      </w:r>
      <w:r w:rsidRPr="00656229">
        <w:t xml:space="preserve">ổ chức các hoạt động tuyên truyền </w:t>
      </w:r>
      <w:r>
        <w:t>p</w:t>
      </w:r>
      <w:r w:rsidRPr="00656229">
        <w:t>hổ biến pháp luật cho người lao động tại cơ sở như như</w:t>
      </w:r>
      <w:r>
        <w:t>:</w:t>
      </w:r>
      <w:r w:rsidRPr="00656229">
        <w:t xml:space="preserve"> tuyên truyền </w:t>
      </w:r>
      <w:r>
        <w:t>miệng;</w:t>
      </w:r>
      <w:r w:rsidRPr="00656229">
        <w:t xml:space="preserve"> sử dụng tài liệu</w:t>
      </w:r>
      <w:r>
        <w:t>;</w:t>
      </w:r>
      <w:r w:rsidRPr="00656229">
        <w:t xml:space="preserve"> hệ thống loa truyền thanh nội bộ</w:t>
      </w:r>
      <w:r>
        <w:t>;</w:t>
      </w:r>
      <w:r w:rsidRPr="00656229">
        <w:t xml:space="preserve"> bản</w:t>
      </w:r>
      <w:r>
        <w:t>g</w:t>
      </w:r>
      <w:r w:rsidRPr="00656229">
        <w:t xml:space="preserve"> tin nội bộ của doanh nghiệp</w:t>
      </w:r>
      <w:r>
        <w:t>;</w:t>
      </w:r>
      <w:r w:rsidRPr="00656229">
        <w:t xml:space="preserve"> tư vấn pháp luật</w:t>
      </w:r>
      <w:r>
        <w:t>;</w:t>
      </w:r>
      <w:r w:rsidRPr="00656229">
        <w:t xml:space="preserve"> </w:t>
      </w:r>
      <w:r>
        <w:t>t</w:t>
      </w:r>
      <w:r w:rsidRPr="00656229">
        <w:t>uyên truyền tại khu nhà trọ công nhân tuyên truyền lồng ghép với các hoạt động văn hóa thể thao</w:t>
      </w:r>
      <w:r>
        <w:t>…</w:t>
      </w:r>
    </w:p>
    <w:p w:rsidR="0074378C" w:rsidRDefault="0074378C" w:rsidP="0074378C">
      <w:pPr>
        <w:spacing w:before="120"/>
        <w:ind w:firstLine="720"/>
        <w:jc w:val="both"/>
      </w:pPr>
      <w:r w:rsidRPr="00340C05">
        <w:lastRenderedPageBreak/>
        <w:t>3. Tổ chức tuyên truyền, phổ biến pháp luật trên các phương tiện thông tin đại chúng trong và ngoài hệ thống công đoàn</w:t>
      </w:r>
      <w:r>
        <w:t>. H</w:t>
      </w:r>
      <w:r w:rsidRPr="00340C05">
        <w:t xml:space="preserve">ướng dẫn công nhân lao động </w:t>
      </w:r>
      <w:r>
        <w:t xml:space="preserve">tham khảo các câu hỏi tư vấn pháp luật trên </w:t>
      </w:r>
      <w:r w:rsidRPr="00340C05">
        <w:t xml:space="preserve">website </w:t>
      </w:r>
      <w:r>
        <w:t xml:space="preserve">CĐCTVN hoặc </w:t>
      </w:r>
      <w:r w:rsidRPr="00340C05">
        <w:t>đặt câu hỏi tư vấn pháp luật</w:t>
      </w:r>
      <w:r>
        <w:t xml:space="preserve"> với Văn phòng tư vấn pháp luật của CĐCTVN khi cần. </w:t>
      </w:r>
    </w:p>
    <w:p w:rsidR="0074378C" w:rsidRPr="00656229" w:rsidRDefault="0074378C" w:rsidP="0074378C">
      <w:pPr>
        <w:spacing w:before="120"/>
        <w:ind w:firstLine="720"/>
        <w:jc w:val="both"/>
      </w:pPr>
      <w:r>
        <w:t xml:space="preserve">4. </w:t>
      </w:r>
      <w:r w:rsidRPr="00656229">
        <w:t xml:space="preserve">Tiếp tục triển khai thực hiện </w:t>
      </w:r>
      <w:r w:rsidR="000E66BF">
        <w:t>Q</w:t>
      </w:r>
      <w:r w:rsidRPr="00656229">
        <w:t>uyết định số 705</w:t>
      </w:r>
      <w:r>
        <w:t>/QĐ-TTG</w:t>
      </w:r>
      <w:r w:rsidR="000E66BF">
        <w:t xml:space="preserve"> </w:t>
      </w:r>
      <w:r w:rsidRPr="00656229">
        <w:t>ngày 25</w:t>
      </w:r>
      <w:r>
        <w:t>/</w:t>
      </w:r>
      <w:r w:rsidRPr="00656229">
        <w:t>5</w:t>
      </w:r>
      <w:r>
        <w:t>/</w:t>
      </w:r>
      <w:r w:rsidRPr="00656229">
        <w:t>2017 của Thủ tướng Chính phủ ban hành chương trình phổ biến giáo dục pháp luật giai đoạn 2017 - 2021</w:t>
      </w:r>
      <w:r>
        <w:t xml:space="preserve">. </w:t>
      </w:r>
    </w:p>
    <w:p w:rsidR="0074378C" w:rsidRPr="00656229" w:rsidRDefault="0074378C" w:rsidP="0074378C">
      <w:pPr>
        <w:spacing w:before="120"/>
        <w:ind w:firstLine="720"/>
        <w:jc w:val="both"/>
      </w:pPr>
      <w:r w:rsidRPr="00656229">
        <w:t xml:space="preserve"> </w:t>
      </w:r>
      <w:r>
        <w:t>5</w:t>
      </w:r>
      <w:r w:rsidRPr="00656229">
        <w:t xml:space="preserve">. </w:t>
      </w:r>
      <w:r>
        <w:t>T</w:t>
      </w:r>
      <w:r w:rsidRPr="00656229">
        <w:t xml:space="preserve">ổ chức các hoạt động tuyên truyền pháp luật hưởng ứng </w:t>
      </w:r>
      <w:r>
        <w:t>“T</w:t>
      </w:r>
      <w:r w:rsidRPr="00656229">
        <w:t xml:space="preserve">háng </w:t>
      </w:r>
      <w:r>
        <w:t>C</w:t>
      </w:r>
      <w:r w:rsidRPr="00656229">
        <w:t>ông nhân</w:t>
      </w:r>
      <w:r>
        <w:t>”,</w:t>
      </w:r>
      <w:r w:rsidRPr="00656229">
        <w:t xml:space="preserve"> kỷ niệm 90 năm ngày thành lập Công đoàn Việt Nam</w:t>
      </w:r>
      <w:r>
        <w:t>;</w:t>
      </w:r>
      <w:r w:rsidRPr="00656229">
        <w:t xml:space="preserve"> </w:t>
      </w:r>
      <w:r>
        <w:t>“N</w:t>
      </w:r>
      <w:r w:rsidRPr="00656229">
        <w:t xml:space="preserve">gày </w:t>
      </w:r>
      <w:r>
        <w:t>P</w:t>
      </w:r>
      <w:r w:rsidRPr="00656229">
        <w:t xml:space="preserve">háp luật nước </w:t>
      </w:r>
      <w:r>
        <w:t>CHXHCN</w:t>
      </w:r>
      <w:r w:rsidRPr="00656229">
        <w:t xml:space="preserve"> Việt Nam</w:t>
      </w:r>
      <w:r>
        <w:t>”</w:t>
      </w:r>
      <w:r w:rsidRPr="00656229">
        <w:t xml:space="preserve"> năm 2019</w:t>
      </w:r>
      <w:r>
        <w:t>.</w:t>
      </w:r>
    </w:p>
    <w:p w:rsidR="0074378C" w:rsidRPr="00656229" w:rsidRDefault="0074378C" w:rsidP="0074378C">
      <w:pPr>
        <w:spacing w:before="120"/>
        <w:ind w:firstLine="720"/>
        <w:jc w:val="both"/>
      </w:pPr>
      <w:r>
        <w:t>6.  V</w:t>
      </w:r>
      <w:r w:rsidRPr="00656229">
        <w:t xml:space="preserve">ận động người sử dụng lao động đưa nhiệm vụ tuyên truyền phổ biến pháp luật cho công nhân lao động và thỏa ước lao động </w:t>
      </w:r>
      <w:r>
        <w:t>t</w:t>
      </w:r>
      <w:r w:rsidRPr="00656229">
        <w:t>ập thể; phối hợp với người sử dụng lao động tổ chức các hoạt động tuyên truyền phổ biến pháp luật cho đoàn viên</w:t>
      </w:r>
      <w:r>
        <w:t>,</w:t>
      </w:r>
      <w:r w:rsidRPr="00656229">
        <w:t xml:space="preserve"> người lao động tại cơ quan</w:t>
      </w:r>
      <w:r>
        <w:t>,</w:t>
      </w:r>
      <w:r w:rsidRPr="00656229">
        <w:t xml:space="preserve"> đơn vị</w:t>
      </w:r>
      <w:r>
        <w:t>,</w:t>
      </w:r>
      <w:r w:rsidRPr="00656229">
        <w:t xml:space="preserve"> doanh nghiệp</w:t>
      </w:r>
      <w:r>
        <w:t>.</w:t>
      </w:r>
    </w:p>
    <w:p w:rsidR="0074378C" w:rsidRDefault="0074378C" w:rsidP="0074378C">
      <w:pPr>
        <w:spacing w:before="120"/>
        <w:ind w:firstLine="720"/>
        <w:jc w:val="both"/>
      </w:pPr>
      <w:r>
        <w:t>7</w:t>
      </w:r>
      <w:r w:rsidRPr="00656229">
        <w:t>.  </w:t>
      </w:r>
      <w:r>
        <w:t>C</w:t>
      </w:r>
      <w:r w:rsidRPr="00656229">
        <w:t>hỉ đạo công đoàn cơ sở trong các cơ quan</w:t>
      </w:r>
      <w:r>
        <w:t>,</w:t>
      </w:r>
      <w:r w:rsidRPr="00656229">
        <w:t xml:space="preserve"> đơn vị</w:t>
      </w:r>
      <w:r>
        <w:t>,</w:t>
      </w:r>
      <w:r w:rsidRPr="00656229">
        <w:t xml:space="preserve"> doanh nghiệp phối hợp với chuyên môn</w:t>
      </w:r>
      <w:r>
        <w:t>,</w:t>
      </w:r>
      <w:r w:rsidRPr="00656229">
        <w:t xml:space="preserve"> người sử dụng lao động rà soát củng cố nâng cao hiệu quả khai thác của tủ sách pháp luật đã có</w:t>
      </w:r>
      <w:r>
        <w:t>;</w:t>
      </w:r>
      <w:r w:rsidRPr="00656229">
        <w:t xml:space="preserve"> tùy theo điều kiện</w:t>
      </w:r>
      <w:r>
        <w:t>, đề xuất bổ sung</w:t>
      </w:r>
      <w:r w:rsidRPr="00656229">
        <w:t xml:space="preserve"> sách pháp luật hoặc xây dựng thêm tủ sách pháp luật</w:t>
      </w:r>
      <w:r>
        <w:t>;</w:t>
      </w:r>
      <w:r w:rsidRPr="00656229">
        <w:t xml:space="preserve"> hướng dẫn công nhân lao động khai thác</w:t>
      </w:r>
      <w:r>
        <w:t>,</w:t>
      </w:r>
      <w:r w:rsidRPr="00656229">
        <w:t xml:space="preserve"> sử dụng sách</w:t>
      </w:r>
      <w:r>
        <w:t>.</w:t>
      </w:r>
    </w:p>
    <w:p w:rsidR="0074378C" w:rsidRDefault="0074378C" w:rsidP="0074378C">
      <w:pPr>
        <w:spacing w:before="120"/>
        <w:ind w:firstLine="720"/>
        <w:jc w:val="both"/>
        <w:rPr>
          <w:highlight w:val="yellow"/>
        </w:rPr>
      </w:pPr>
      <w:r w:rsidRPr="00F91192">
        <w:t xml:space="preserve">8. Tổng hợp số liệu, đánh giá kết quả công tác tuyên truyền phổ biến giáo dục pháp luật trong CNVCLĐ để chuẩn bị tổng kết 15 năm thực hiện </w:t>
      </w:r>
      <w:r w:rsidRPr="00B1697E">
        <w:t>Chỉ thị 32-CT/TW</w:t>
      </w:r>
      <w:r>
        <w:t xml:space="preserve"> ngày 09/12/2003 của Ban Bí thư</w:t>
      </w:r>
      <w:r w:rsidRPr="00B1697E">
        <w:t xml:space="preserve"> </w:t>
      </w:r>
      <w:r>
        <w:t>v</w:t>
      </w:r>
      <w:r w:rsidRPr="00B1697E">
        <w:t>ề tăng cường sự lãnh đạo của Đảng trong công tác phổ biến, giáo dục pháp luật, nâng cao ý thức chấp hành pháp luật của cán bộ, nhân dân</w:t>
      </w:r>
      <w:r>
        <w:t xml:space="preserve"> </w:t>
      </w:r>
      <w:r w:rsidRPr="00F91192">
        <w:t>tập trung vào các nội dung sau:</w:t>
      </w:r>
    </w:p>
    <w:p w:rsidR="0074378C" w:rsidRPr="00F91192" w:rsidRDefault="0074378C" w:rsidP="0074378C">
      <w:pPr>
        <w:spacing w:before="120"/>
        <w:ind w:firstLine="720"/>
        <w:jc w:val="both"/>
      </w:pPr>
      <w:r w:rsidRPr="00F91192">
        <w:t>- Đánh giá công tác chỉ đạo của các cấp ủy Đảng và sự quan tâm tâm tạo điều kiện của chính quyền đồng cấp với các cấp công đoàn trong việc triển khai thực hiện công tác tuyên truyền phổ biến pháp luật trong CNVCLĐ; nguồn ngân sách của chuyên môn hỗ trợ cho công đoàn thực hiện công tác tuyên truyền phổ biến pháp luật hàng năm.</w:t>
      </w:r>
    </w:p>
    <w:p w:rsidR="0074378C" w:rsidRPr="00F91192" w:rsidRDefault="0074378C" w:rsidP="0074378C">
      <w:pPr>
        <w:spacing w:before="120"/>
        <w:ind w:firstLine="720"/>
        <w:jc w:val="both"/>
      </w:pPr>
      <w:r w:rsidRPr="00F91192">
        <w:t xml:space="preserve">- Đánh giá kết quả công tác tuyên truyền phổ biến giáo dục pháp luật trong từ khi có </w:t>
      </w:r>
      <w:r w:rsidRPr="00B1697E">
        <w:t>Chỉ thị 32-CT/TW</w:t>
      </w:r>
      <w:r>
        <w:t xml:space="preserve"> </w:t>
      </w:r>
      <w:r w:rsidRPr="00F91192">
        <w:t>đến nay cụ thể</w:t>
      </w:r>
      <w:r>
        <w:t>:</w:t>
      </w:r>
    </w:p>
    <w:p w:rsidR="0074378C" w:rsidRPr="00CE3EA5" w:rsidRDefault="0074378C" w:rsidP="0074378C">
      <w:pPr>
        <w:spacing w:before="120"/>
        <w:ind w:firstLine="720"/>
        <w:jc w:val="both"/>
      </w:pPr>
      <w:r w:rsidRPr="00CE3EA5">
        <w:t>+ Số lượng cán bộ làm công tác tư vấn pháp luật hiện nay?</w:t>
      </w:r>
    </w:p>
    <w:p w:rsidR="0074378C" w:rsidRPr="00CE3EA5" w:rsidRDefault="0074378C" w:rsidP="0074378C">
      <w:pPr>
        <w:spacing w:before="120"/>
        <w:ind w:firstLine="720"/>
        <w:jc w:val="both"/>
      </w:pPr>
      <w:r w:rsidRPr="00CE3EA5">
        <w:t>+ Các hình thức mô hình tuyên truyền phổ biến pháp luật có hiệu quả?</w:t>
      </w:r>
    </w:p>
    <w:p w:rsidR="0074378C" w:rsidRPr="00CE3EA5" w:rsidRDefault="0074378C" w:rsidP="0074378C">
      <w:pPr>
        <w:spacing w:before="120"/>
        <w:ind w:firstLine="720"/>
        <w:jc w:val="both"/>
      </w:pPr>
      <w:r w:rsidRPr="00CE3EA5">
        <w:t>+ Số cuộc tuyên truyền phổ biến pháp luật trong CNVCLĐ?</w:t>
      </w:r>
    </w:p>
    <w:p w:rsidR="0074378C" w:rsidRPr="00CE3EA5" w:rsidRDefault="0074378C" w:rsidP="0074378C">
      <w:pPr>
        <w:spacing w:before="120"/>
        <w:ind w:firstLine="720"/>
        <w:jc w:val="both"/>
      </w:pPr>
      <w:r w:rsidRPr="00CE3EA5">
        <w:t>+ Số lượng cán bộ công đoàn được tập huấn về pháp luật?</w:t>
      </w:r>
    </w:p>
    <w:p w:rsidR="0074378C" w:rsidRPr="00CE3EA5" w:rsidRDefault="0074378C" w:rsidP="0074378C">
      <w:pPr>
        <w:spacing w:before="120"/>
        <w:ind w:firstLine="720"/>
        <w:jc w:val="both"/>
      </w:pPr>
      <w:r w:rsidRPr="00CE3EA5">
        <w:t>+ Số lượt CNVCLĐ được tuyên truyền phổ biến pháp luật?</w:t>
      </w:r>
    </w:p>
    <w:p w:rsidR="0074378C" w:rsidRPr="00CE3EA5" w:rsidRDefault="0074378C" w:rsidP="0074378C">
      <w:pPr>
        <w:spacing w:before="120"/>
        <w:ind w:firstLine="720"/>
        <w:jc w:val="both"/>
      </w:pPr>
      <w:r>
        <w:t>+</w:t>
      </w:r>
      <w:r w:rsidRPr="00CE3EA5">
        <w:t xml:space="preserve"> Số ảnh, tài liệu tuyên truyền pháp luật đã phát hành?</w:t>
      </w:r>
    </w:p>
    <w:p w:rsidR="0074378C" w:rsidRPr="00656229" w:rsidRDefault="0074378C" w:rsidP="0074378C">
      <w:pPr>
        <w:spacing w:before="120"/>
        <w:ind w:firstLine="720"/>
        <w:jc w:val="both"/>
      </w:pPr>
      <w:r w:rsidRPr="00CE3EA5">
        <w:t xml:space="preserve">+ Đánh giá ưu điểm, hạn chế, nguyên nhân và bài học kinh nghiệm để làm tốt công tác tuyên truyền phổ biến giáo dục pháp luật trong </w:t>
      </w:r>
      <w:r>
        <w:t>CNVCLĐ.</w:t>
      </w:r>
    </w:p>
    <w:p w:rsidR="008D3577" w:rsidRDefault="0074378C" w:rsidP="0074378C">
      <w:pPr>
        <w:shd w:val="clear" w:color="auto" w:fill="FFFFFF"/>
        <w:spacing w:line="264" w:lineRule="auto"/>
        <w:ind w:firstLine="720"/>
        <w:jc w:val="both"/>
        <w:textAlignment w:val="baseline"/>
      </w:pPr>
      <w:r w:rsidRPr="00F013BA">
        <w:lastRenderedPageBreak/>
        <w:t xml:space="preserve">Căn cứ vào đặc điểm tình hình của đơn vị, các công đoàn </w:t>
      </w:r>
      <w:r>
        <w:t xml:space="preserve">trực thuộc </w:t>
      </w:r>
      <w:r w:rsidRPr="00F013BA">
        <w:t xml:space="preserve">lựa chọn nội dung, hình thức tuyên truyền phù hợp, hiệu quả, thu hút đông đảo đoàn viên, CNVCLĐ tham gia. </w:t>
      </w:r>
      <w:r>
        <w:t xml:space="preserve">Báo cáo kết quả 15 năm thực hiện </w:t>
      </w:r>
      <w:r w:rsidRPr="00B1697E">
        <w:t>Chỉ thị 32-CT/TW</w:t>
      </w:r>
      <w:r>
        <w:t xml:space="preserve"> trước ngày </w:t>
      </w:r>
      <w:r w:rsidRPr="00E4649B">
        <w:rPr>
          <w:b/>
        </w:rPr>
        <w:t>20/6/2019</w:t>
      </w:r>
      <w:r w:rsidRPr="004369B4">
        <w:t>;</w:t>
      </w:r>
      <w:r>
        <w:rPr>
          <w:b/>
        </w:rPr>
        <w:t xml:space="preserve"> </w:t>
      </w:r>
      <w:r w:rsidRPr="00F013BA">
        <w:t>báo cáo</w:t>
      </w:r>
      <w:r>
        <w:t xml:space="preserve"> kết quả</w:t>
      </w:r>
      <w:r w:rsidRPr="00F013BA">
        <w:t xml:space="preserve"> </w:t>
      </w:r>
      <w:r>
        <w:t xml:space="preserve">thực hiện nhiệm vụ tuyên truyền, phổ biến pháp luật hàng năm trước ngày </w:t>
      </w:r>
      <w:r w:rsidRPr="00A94730">
        <w:rPr>
          <w:b/>
        </w:rPr>
        <w:t>20/10/2019</w:t>
      </w:r>
      <w:r>
        <w:rPr>
          <w:b/>
        </w:rPr>
        <w:t xml:space="preserve"> </w:t>
      </w:r>
      <w:r w:rsidRPr="00A94730">
        <w:t>và</w:t>
      </w:r>
      <w:r>
        <w:rPr>
          <w:b/>
        </w:rPr>
        <w:t xml:space="preserve"> </w:t>
      </w:r>
      <w:r w:rsidRPr="00D02DD1">
        <w:t>gửi</w:t>
      </w:r>
      <w:r>
        <w:t xml:space="preserve"> về CĐCTVN</w:t>
      </w:r>
      <w:r w:rsidRPr="00D02DD1">
        <w:t xml:space="preserve"> theo địa chỉ email </w:t>
      </w:r>
      <w:hyperlink r:id="rId7" w:history="1">
        <w:r w:rsidRPr="005C5BFE">
          <w:rPr>
            <w:rStyle w:val="Hyperlink"/>
            <w:b/>
            <w:i/>
          </w:rPr>
          <w:t>bantg@vuit.org.vn</w:t>
        </w:r>
      </w:hyperlink>
      <w:r>
        <w:rPr>
          <w:b/>
          <w:i/>
        </w:rPr>
        <w:t xml:space="preserve"> </w:t>
      </w:r>
      <w:r>
        <w:t>để báo cáo TLĐ theo quy định</w:t>
      </w:r>
      <w:r w:rsidRPr="00F013BA">
        <w:t>./.</w:t>
      </w:r>
    </w:p>
    <w:p w:rsidR="0074378C" w:rsidRDefault="0074378C" w:rsidP="0074378C">
      <w:pPr>
        <w:shd w:val="clear" w:color="auto" w:fill="FFFFFF"/>
        <w:spacing w:line="264" w:lineRule="auto"/>
        <w:ind w:firstLine="720"/>
        <w:jc w:val="both"/>
        <w:textAlignment w:val="baseline"/>
        <w:rPr>
          <w:rFonts w:eastAsia="Times New Roman"/>
          <w:szCs w:val="28"/>
          <w:bdr w:val="none" w:sz="0" w:space="0" w:color="auto" w:frame="1"/>
        </w:rPr>
      </w:pPr>
    </w:p>
    <w:tbl>
      <w:tblPr>
        <w:tblW w:w="0" w:type="auto"/>
        <w:tblLook w:val="01E0"/>
      </w:tblPr>
      <w:tblGrid>
        <w:gridCol w:w="5626"/>
        <w:gridCol w:w="3662"/>
      </w:tblGrid>
      <w:tr w:rsidR="008D3577" w:rsidRPr="00295550" w:rsidTr="009F7BDE">
        <w:tc>
          <w:tcPr>
            <w:tcW w:w="5626" w:type="dxa"/>
          </w:tcPr>
          <w:p w:rsidR="008D3577" w:rsidRPr="00295550" w:rsidRDefault="008D3577" w:rsidP="00E72ACB">
            <w:pPr>
              <w:jc w:val="both"/>
              <w:rPr>
                <w:color w:val="000000"/>
                <w:szCs w:val="28"/>
                <w:shd w:val="clear" w:color="auto" w:fill="FFFFFF"/>
              </w:rPr>
            </w:pPr>
          </w:p>
        </w:tc>
        <w:tc>
          <w:tcPr>
            <w:tcW w:w="3662" w:type="dxa"/>
          </w:tcPr>
          <w:p w:rsidR="008D3577" w:rsidRPr="00295550" w:rsidRDefault="008D3577" w:rsidP="003420F0">
            <w:pPr>
              <w:jc w:val="center"/>
              <w:rPr>
                <w:b/>
                <w:color w:val="000000"/>
                <w:szCs w:val="28"/>
                <w:shd w:val="clear" w:color="auto" w:fill="FFFFFF"/>
              </w:rPr>
            </w:pPr>
            <w:r w:rsidRPr="00295550">
              <w:rPr>
                <w:b/>
                <w:color w:val="000000"/>
                <w:szCs w:val="28"/>
                <w:shd w:val="clear" w:color="auto" w:fill="FFFFFF"/>
              </w:rPr>
              <w:t xml:space="preserve">TM. </w:t>
            </w:r>
            <w:r w:rsidR="003420F0">
              <w:rPr>
                <w:b/>
                <w:color w:val="000000"/>
                <w:szCs w:val="28"/>
                <w:shd w:val="clear" w:color="auto" w:fill="FFFFFF"/>
              </w:rPr>
              <w:t>BAN THƯỜNG VỤ</w:t>
            </w:r>
          </w:p>
        </w:tc>
      </w:tr>
      <w:tr w:rsidR="008D3577" w:rsidRPr="00295550" w:rsidTr="009F7BDE">
        <w:tc>
          <w:tcPr>
            <w:tcW w:w="5626" w:type="dxa"/>
          </w:tcPr>
          <w:p w:rsidR="008D3577" w:rsidRPr="0092772F" w:rsidRDefault="008D3577" w:rsidP="00E72ACB">
            <w:pPr>
              <w:jc w:val="both"/>
              <w:rPr>
                <w:i/>
                <w:sz w:val="24"/>
              </w:rPr>
            </w:pPr>
            <w:r w:rsidRPr="0092772F">
              <w:rPr>
                <w:b/>
                <w:bCs/>
                <w:i/>
                <w:sz w:val="24"/>
              </w:rPr>
              <w:t>Nơi nhận:</w:t>
            </w:r>
            <w:r w:rsidRPr="0092772F">
              <w:rPr>
                <w:i/>
                <w:sz w:val="24"/>
              </w:rPr>
              <w:t xml:space="preserve"> </w:t>
            </w:r>
          </w:p>
        </w:tc>
        <w:tc>
          <w:tcPr>
            <w:tcW w:w="3662" w:type="dxa"/>
          </w:tcPr>
          <w:p w:rsidR="008D3577" w:rsidRPr="00295550" w:rsidRDefault="0074378C" w:rsidP="00E72ACB">
            <w:pPr>
              <w:jc w:val="center"/>
              <w:rPr>
                <w:b/>
                <w:color w:val="000000"/>
                <w:szCs w:val="28"/>
                <w:shd w:val="clear" w:color="auto" w:fill="FFFFFF"/>
              </w:rPr>
            </w:pPr>
            <w:r>
              <w:rPr>
                <w:b/>
                <w:color w:val="000000"/>
                <w:szCs w:val="28"/>
                <w:shd w:val="clear" w:color="auto" w:fill="FFFFFF"/>
              </w:rPr>
              <w:t xml:space="preserve">PHÓ </w:t>
            </w:r>
            <w:r w:rsidR="008D3577" w:rsidRPr="00295550">
              <w:rPr>
                <w:b/>
                <w:color w:val="000000"/>
                <w:szCs w:val="28"/>
                <w:shd w:val="clear" w:color="auto" w:fill="FFFFFF"/>
              </w:rPr>
              <w:t>CHỦ TỊCH</w:t>
            </w:r>
          </w:p>
        </w:tc>
      </w:tr>
      <w:tr w:rsidR="008D3577" w:rsidRPr="00295550" w:rsidTr="009F7BDE">
        <w:tc>
          <w:tcPr>
            <w:tcW w:w="5626" w:type="dxa"/>
          </w:tcPr>
          <w:p w:rsidR="008D3577" w:rsidRPr="00295550" w:rsidRDefault="008D3577" w:rsidP="0074378C">
            <w:pPr>
              <w:jc w:val="both"/>
              <w:rPr>
                <w:sz w:val="22"/>
              </w:rPr>
            </w:pPr>
            <w:r w:rsidRPr="00295550">
              <w:rPr>
                <w:sz w:val="22"/>
              </w:rPr>
              <w:t xml:space="preserve">- </w:t>
            </w:r>
            <w:r w:rsidR="0074378C">
              <w:rPr>
                <w:sz w:val="22"/>
              </w:rPr>
              <w:t>Như trên</w:t>
            </w:r>
            <w:r w:rsidRPr="00295550">
              <w:rPr>
                <w:sz w:val="22"/>
              </w:rPr>
              <w:t>;</w:t>
            </w:r>
          </w:p>
        </w:tc>
        <w:tc>
          <w:tcPr>
            <w:tcW w:w="3662" w:type="dxa"/>
          </w:tcPr>
          <w:p w:rsidR="008D3577" w:rsidRPr="00295550" w:rsidRDefault="008D3577" w:rsidP="00E72ACB">
            <w:pPr>
              <w:jc w:val="center"/>
              <w:rPr>
                <w:b/>
                <w:color w:val="000000"/>
                <w:szCs w:val="28"/>
                <w:shd w:val="clear" w:color="auto" w:fill="FFFFFF"/>
              </w:rPr>
            </w:pPr>
          </w:p>
        </w:tc>
      </w:tr>
      <w:tr w:rsidR="008D3577" w:rsidRPr="00295550" w:rsidTr="009F7BDE">
        <w:tc>
          <w:tcPr>
            <w:tcW w:w="5626" w:type="dxa"/>
          </w:tcPr>
          <w:p w:rsidR="005742E0" w:rsidRDefault="005742E0" w:rsidP="00E72ACB">
            <w:pPr>
              <w:jc w:val="both"/>
              <w:rPr>
                <w:sz w:val="22"/>
              </w:rPr>
            </w:pPr>
            <w:r>
              <w:rPr>
                <w:sz w:val="22"/>
              </w:rPr>
              <w:t>- Website CĐCTVN;</w:t>
            </w:r>
          </w:p>
          <w:p w:rsidR="003420F0" w:rsidRPr="00295550" w:rsidRDefault="003420F0" w:rsidP="00E72ACB">
            <w:pPr>
              <w:jc w:val="both"/>
              <w:rPr>
                <w:sz w:val="22"/>
              </w:rPr>
            </w:pPr>
            <w:r>
              <w:rPr>
                <w:sz w:val="22"/>
              </w:rPr>
              <w:t>- Lưu TG, VP.</w:t>
            </w:r>
          </w:p>
        </w:tc>
        <w:tc>
          <w:tcPr>
            <w:tcW w:w="3662" w:type="dxa"/>
          </w:tcPr>
          <w:p w:rsidR="004C1A45" w:rsidRPr="008E3901" w:rsidRDefault="008E3901" w:rsidP="00E72ACB">
            <w:pPr>
              <w:jc w:val="center"/>
              <w:rPr>
                <w:b/>
                <w:i/>
                <w:color w:val="000000"/>
                <w:szCs w:val="28"/>
                <w:shd w:val="clear" w:color="auto" w:fill="FFFFFF"/>
              </w:rPr>
            </w:pPr>
            <w:r w:rsidRPr="008E3901">
              <w:rPr>
                <w:b/>
                <w:i/>
                <w:color w:val="000000"/>
                <w:szCs w:val="28"/>
                <w:shd w:val="clear" w:color="auto" w:fill="FFFFFF"/>
              </w:rPr>
              <w:t>(đã ký)</w:t>
            </w:r>
          </w:p>
          <w:p w:rsidR="004C1A45" w:rsidRDefault="004C1A45" w:rsidP="00E72ACB">
            <w:pPr>
              <w:jc w:val="center"/>
              <w:rPr>
                <w:b/>
                <w:color w:val="000000"/>
                <w:szCs w:val="28"/>
                <w:shd w:val="clear" w:color="auto" w:fill="FFFFFF"/>
              </w:rPr>
            </w:pPr>
          </w:p>
          <w:p w:rsidR="0074378C" w:rsidRDefault="0074378C"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8D3577" w:rsidRPr="00295550" w:rsidRDefault="0074378C" w:rsidP="00E72ACB">
            <w:pPr>
              <w:jc w:val="center"/>
              <w:rPr>
                <w:b/>
                <w:color w:val="000000"/>
                <w:szCs w:val="28"/>
                <w:shd w:val="clear" w:color="auto" w:fill="FFFFFF"/>
              </w:rPr>
            </w:pPr>
            <w:r>
              <w:rPr>
                <w:b/>
                <w:color w:val="000000"/>
                <w:szCs w:val="28"/>
                <w:shd w:val="clear" w:color="auto" w:fill="FFFFFF"/>
              </w:rPr>
              <w:t>Vũ Trường Sơn</w:t>
            </w:r>
          </w:p>
        </w:tc>
      </w:tr>
    </w:tbl>
    <w:p w:rsidR="00B37259" w:rsidRPr="0096496E" w:rsidRDefault="00B37259" w:rsidP="009F7BDE">
      <w:pPr>
        <w:jc w:val="both"/>
        <w:rPr>
          <w:szCs w:val="28"/>
        </w:rPr>
      </w:pPr>
    </w:p>
    <w:sectPr w:rsidR="00B37259" w:rsidRPr="0096496E" w:rsidSect="005742E0">
      <w:footerReference w:type="default" r:id="rId8"/>
      <w:pgSz w:w="11907" w:h="16840" w:code="9"/>
      <w:pgMar w:top="1134" w:right="1134" w:bottom="851" w:left="1701" w:header="34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91" w:rsidRDefault="00F00A91" w:rsidP="00DF4011">
      <w:r>
        <w:separator/>
      </w:r>
    </w:p>
  </w:endnote>
  <w:endnote w:type="continuationSeparator" w:id="1">
    <w:p w:rsidR="00F00A91" w:rsidRDefault="00F00A91" w:rsidP="00DF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231"/>
      <w:docPartObj>
        <w:docPartGallery w:val="Page Numbers (Bottom of Page)"/>
        <w:docPartUnique/>
      </w:docPartObj>
    </w:sdtPr>
    <w:sdtContent>
      <w:p w:rsidR="00916670" w:rsidRDefault="00082BAD">
        <w:pPr>
          <w:pStyle w:val="Footer"/>
          <w:jc w:val="center"/>
        </w:pPr>
        <w:fldSimple w:instr=" PAGE   \* MERGEFORMAT ">
          <w:r w:rsidR="008E3901">
            <w:rPr>
              <w:noProof/>
            </w:rPr>
            <w:t>3</w:t>
          </w:r>
        </w:fldSimple>
      </w:p>
    </w:sdtContent>
  </w:sdt>
  <w:p w:rsidR="00916670" w:rsidRDefault="00916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91" w:rsidRDefault="00F00A91" w:rsidP="00DF4011">
      <w:r>
        <w:separator/>
      </w:r>
    </w:p>
  </w:footnote>
  <w:footnote w:type="continuationSeparator" w:id="1">
    <w:p w:rsidR="00F00A91" w:rsidRDefault="00F00A91" w:rsidP="00DF4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496E"/>
    <w:rsid w:val="00002EF1"/>
    <w:rsid w:val="000432B1"/>
    <w:rsid w:val="00055905"/>
    <w:rsid w:val="00061A23"/>
    <w:rsid w:val="00082BAD"/>
    <w:rsid w:val="000920AF"/>
    <w:rsid w:val="000E66BF"/>
    <w:rsid w:val="000E69D5"/>
    <w:rsid w:val="00105E1C"/>
    <w:rsid w:val="001151DD"/>
    <w:rsid w:val="001724A3"/>
    <w:rsid w:val="0017573F"/>
    <w:rsid w:val="00195B35"/>
    <w:rsid w:val="001A63C2"/>
    <w:rsid w:val="00231865"/>
    <w:rsid w:val="00243376"/>
    <w:rsid w:val="00243665"/>
    <w:rsid w:val="002500A1"/>
    <w:rsid w:val="002701E4"/>
    <w:rsid w:val="0028643F"/>
    <w:rsid w:val="002C5F6D"/>
    <w:rsid w:val="002F48D5"/>
    <w:rsid w:val="00313681"/>
    <w:rsid w:val="0032449B"/>
    <w:rsid w:val="0033490F"/>
    <w:rsid w:val="0033656A"/>
    <w:rsid w:val="003420F0"/>
    <w:rsid w:val="00362B09"/>
    <w:rsid w:val="003D3749"/>
    <w:rsid w:val="003E7BE0"/>
    <w:rsid w:val="003F32E7"/>
    <w:rsid w:val="003F5FA9"/>
    <w:rsid w:val="003F7465"/>
    <w:rsid w:val="004003D1"/>
    <w:rsid w:val="00404341"/>
    <w:rsid w:val="00461709"/>
    <w:rsid w:val="00487366"/>
    <w:rsid w:val="004A360B"/>
    <w:rsid w:val="004A5526"/>
    <w:rsid w:val="004B72D3"/>
    <w:rsid w:val="004C1A45"/>
    <w:rsid w:val="004D012C"/>
    <w:rsid w:val="004E5243"/>
    <w:rsid w:val="00517219"/>
    <w:rsid w:val="005513E5"/>
    <w:rsid w:val="00561DE6"/>
    <w:rsid w:val="00571833"/>
    <w:rsid w:val="005742E0"/>
    <w:rsid w:val="00582085"/>
    <w:rsid w:val="005B3A73"/>
    <w:rsid w:val="005B3AE3"/>
    <w:rsid w:val="0061779B"/>
    <w:rsid w:val="0063686F"/>
    <w:rsid w:val="006449BC"/>
    <w:rsid w:val="00660DCC"/>
    <w:rsid w:val="006903AD"/>
    <w:rsid w:val="0069779E"/>
    <w:rsid w:val="00720278"/>
    <w:rsid w:val="00722135"/>
    <w:rsid w:val="00727947"/>
    <w:rsid w:val="007415E7"/>
    <w:rsid w:val="0074378C"/>
    <w:rsid w:val="00744222"/>
    <w:rsid w:val="00750955"/>
    <w:rsid w:val="00750EF1"/>
    <w:rsid w:val="00761DED"/>
    <w:rsid w:val="00761E86"/>
    <w:rsid w:val="00773C8B"/>
    <w:rsid w:val="00777D5B"/>
    <w:rsid w:val="007951F2"/>
    <w:rsid w:val="007B1EC7"/>
    <w:rsid w:val="007B4D79"/>
    <w:rsid w:val="007E544B"/>
    <w:rsid w:val="007F40BD"/>
    <w:rsid w:val="00810731"/>
    <w:rsid w:val="00827CA9"/>
    <w:rsid w:val="00844A23"/>
    <w:rsid w:val="00855DA6"/>
    <w:rsid w:val="00875080"/>
    <w:rsid w:val="008C0A65"/>
    <w:rsid w:val="008D3577"/>
    <w:rsid w:val="008E3901"/>
    <w:rsid w:val="008F5C72"/>
    <w:rsid w:val="008F691B"/>
    <w:rsid w:val="00916670"/>
    <w:rsid w:val="0092772F"/>
    <w:rsid w:val="00945C50"/>
    <w:rsid w:val="00951CF3"/>
    <w:rsid w:val="0096496E"/>
    <w:rsid w:val="00970913"/>
    <w:rsid w:val="009915DA"/>
    <w:rsid w:val="009B724F"/>
    <w:rsid w:val="009E2DE0"/>
    <w:rsid w:val="009F0E96"/>
    <w:rsid w:val="009F3487"/>
    <w:rsid w:val="009F7BDE"/>
    <w:rsid w:val="00A27B7E"/>
    <w:rsid w:val="00A37477"/>
    <w:rsid w:val="00A456B4"/>
    <w:rsid w:val="00A53A8C"/>
    <w:rsid w:val="00A7652D"/>
    <w:rsid w:val="00A97327"/>
    <w:rsid w:val="00A976B6"/>
    <w:rsid w:val="00AB2D3C"/>
    <w:rsid w:val="00AE024B"/>
    <w:rsid w:val="00AE1AE1"/>
    <w:rsid w:val="00B16A78"/>
    <w:rsid w:val="00B37259"/>
    <w:rsid w:val="00B41A77"/>
    <w:rsid w:val="00B5591F"/>
    <w:rsid w:val="00BE0BBB"/>
    <w:rsid w:val="00C21B1A"/>
    <w:rsid w:val="00C32B5D"/>
    <w:rsid w:val="00C45D51"/>
    <w:rsid w:val="00C553B2"/>
    <w:rsid w:val="00C75ED5"/>
    <w:rsid w:val="00C84930"/>
    <w:rsid w:val="00C96376"/>
    <w:rsid w:val="00CB56F2"/>
    <w:rsid w:val="00D12D7E"/>
    <w:rsid w:val="00D23C43"/>
    <w:rsid w:val="00D37F3C"/>
    <w:rsid w:val="00D453D4"/>
    <w:rsid w:val="00D70AC2"/>
    <w:rsid w:val="00DA7BBC"/>
    <w:rsid w:val="00DE2C97"/>
    <w:rsid w:val="00DE71FD"/>
    <w:rsid w:val="00DF4011"/>
    <w:rsid w:val="00E135E2"/>
    <w:rsid w:val="00E175FE"/>
    <w:rsid w:val="00E24AE5"/>
    <w:rsid w:val="00E438BD"/>
    <w:rsid w:val="00E72ACB"/>
    <w:rsid w:val="00ED603D"/>
    <w:rsid w:val="00EF0CAE"/>
    <w:rsid w:val="00F00A91"/>
    <w:rsid w:val="00F11BBF"/>
    <w:rsid w:val="00F134F5"/>
    <w:rsid w:val="00F57574"/>
    <w:rsid w:val="00F63ED5"/>
    <w:rsid w:val="00F6674A"/>
    <w:rsid w:val="00F737C1"/>
    <w:rsid w:val="00F73948"/>
    <w:rsid w:val="00FA78B0"/>
    <w:rsid w:val="00FB6E52"/>
    <w:rsid w:val="00FD1415"/>
    <w:rsid w:val="00FE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style>
  <w:style w:type="paragraph" w:styleId="Heading1">
    <w:name w:val="heading 1"/>
    <w:basedOn w:val="Normal"/>
    <w:next w:val="Normal"/>
    <w:link w:val="Heading1Char"/>
    <w:uiPriority w:val="9"/>
    <w:qFormat/>
    <w:rsid w:val="005B3A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761D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649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96E"/>
    <w:rPr>
      <w:rFonts w:eastAsia="Times New Roman"/>
      <w:b/>
      <w:bCs/>
      <w:sz w:val="27"/>
      <w:szCs w:val="27"/>
    </w:rPr>
  </w:style>
  <w:style w:type="character" w:styleId="Emphasis">
    <w:name w:val="Emphasis"/>
    <w:basedOn w:val="DefaultParagraphFont"/>
    <w:uiPriority w:val="20"/>
    <w:qFormat/>
    <w:rsid w:val="0096496E"/>
    <w:rPr>
      <w:i/>
      <w:iCs/>
    </w:rPr>
  </w:style>
  <w:style w:type="paragraph" w:styleId="NormalWeb">
    <w:name w:val="Normal (Web)"/>
    <w:basedOn w:val="Normal"/>
    <w:uiPriority w:val="99"/>
    <w:unhideWhenUsed/>
    <w:rsid w:val="0096496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6496E"/>
    <w:rPr>
      <w:b/>
      <w:bCs/>
    </w:rPr>
  </w:style>
  <w:style w:type="character" w:customStyle="1" w:styleId="apple-converted-space">
    <w:name w:val="apple-converted-space"/>
    <w:basedOn w:val="DefaultParagraphFont"/>
    <w:rsid w:val="0096496E"/>
  </w:style>
  <w:style w:type="character" w:customStyle="1" w:styleId="xauthors">
    <w:name w:val="xauthors"/>
    <w:basedOn w:val="DefaultParagraphFont"/>
    <w:rsid w:val="0096496E"/>
  </w:style>
  <w:style w:type="paragraph" w:styleId="Header">
    <w:name w:val="header"/>
    <w:basedOn w:val="Normal"/>
    <w:link w:val="HeaderChar"/>
    <w:uiPriority w:val="99"/>
    <w:semiHidden/>
    <w:unhideWhenUsed/>
    <w:rsid w:val="00DF4011"/>
    <w:pPr>
      <w:tabs>
        <w:tab w:val="center" w:pos="4680"/>
        <w:tab w:val="right" w:pos="9360"/>
      </w:tabs>
    </w:pPr>
  </w:style>
  <w:style w:type="character" w:customStyle="1" w:styleId="HeaderChar">
    <w:name w:val="Header Char"/>
    <w:basedOn w:val="DefaultParagraphFont"/>
    <w:link w:val="Header"/>
    <w:uiPriority w:val="99"/>
    <w:semiHidden/>
    <w:rsid w:val="00DF4011"/>
  </w:style>
  <w:style w:type="paragraph" w:styleId="Footer">
    <w:name w:val="footer"/>
    <w:basedOn w:val="Normal"/>
    <w:link w:val="FooterChar"/>
    <w:uiPriority w:val="99"/>
    <w:unhideWhenUsed/>
    <w:rsid w:val="00DF4011"/>
    <w:pPr>
      <w:tabs>
        <w:tab w:val="center" w:pos="4680"/>
        <w:tab w:val="right" w:pos="9360"/>
      </w:tabs>
    </w:pPr>
  </w:style>
  <w:style w:type="character" w:customStyle="1" w:styleId="FooterChar">
    <w:name w:val="Footer Char"/>
    <w:basedOn w:val="DefaultParagraphFont"/>
    <w:link w:val="Footer"/>
    <w:uiPriority w:val="99"/>
    <w:rsid w:val="00DF4011"/>
  </w:style>
  <w:style w:type="character" w:customStyle="1" w:styleId="Heading2Char">
    <w:name w:val="Heading 2 Char"/>
    <w:basedOn w:val="DefaultParagraphFont"/>
    <w:link w:val="Heading2"/>
    <w:uiPriority w:val="9"/>
    <w:rsid w:val="00761DED"/>
    <w:rPr>
      <w:rFonts w:eastAsia="Times New Roman"/>
      <w:b/>
      <w:bCs/>
      <w:sz w:val="36"/>
      <w:szCs w:val="36"/>
    </w:rPr>
  </w:style>
  <w:style w:type="paragraph" w:styleId="ListParagraph">
    <w:name w:val="List Paragraph"/>
    <w:basedOn w:val="Normal"/>
    <w:uiPriority w:val="34"/>
    <w:qFormat/>
    <w:rsid w:val="003420F0"/>
    <w:pPr>
      <w:ind w:left="720"/>
      <w:contextualSpacing/>
    </w:pPr>
  </w:style>
  <w:style w:type="character" w:customStyle="1" w:styleId="Heading1Char">
    <w:name w:val="Heading 1 Char"/>
    <w:basedOn w:val="DefaultParagraphFont"/>
    <w:link w:val="Heading1"/>
    <w:uiPriority w:val="9"/>
    <w:rsid w:val="005B3A73"/>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rsid w:val="00C45D51"/>
    <w:rPr>
      <w:color w:val="0000FF"/>
      <w:u w:val="single"/>
    </w:rPr>
  </w:style>
</w:styles>
</file>

<file path=word/webSettings.xml><?xml version="1.0" encoding="utf-8"?>
<w:webSettings xmlns:r="http://schemas.openxmlformats.org/officeDocument/2006/relationships" xmlns:w="http://schemas.openxmlformats.org/wordprocessingml/2006/main">
  <w:divs>
    <w:div w:id="1159806094">
      <w:bodyDiv w:val="1"/>
      <w:marLeft w:val="0"/>
      <w:marRight w:val="0"/>
      <w:marTop w:val="0"/>
      <w:marBottom w:val="0"/>
      <w:divBdr>
        <w:top w:val="none" w:sz="0" w:space="0" w:color="auto"/>
        <w:left w:val="none" w:sz="0" w:space="0" w:color="auto"/>
        <w:bottom w:val="none" w:sz="0" w:space="0" w:color="auto"/>
        <w:right w:val="none" w:sz="0" w:space="0" w:color="auto"/>
      </w:divBdr>
    </w:div>
    <w:div w:id="1224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tg@vuit.org.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6E1E-2AAC-4A98-9AC1-CFC2536F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ts83dnk</cp:lastModifiedBy>
  <cp:revision>6</cp:revision>
  <cp:lastPrinted>2019-05-31T04:04:00Z</cp:lastPrinted>
  <dcterms:created xsi:type="dcterms:W3CDTF">2019-05-31T03:48:00Z</dcterms:created>
  <dcterms:modified xsi:type="dcterms:W3CDTF">2019-06-10T02:42:00Z</dcterms:modified>
</cp:coreProperties>
</file>