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75"/>
        <w:gridCol w:w="48"/>
        <w:gridCol w:w="4753"/>
        <w:gridCol w:w="317"/>
      </w:tblGrid>
      <w:tr w:rsidR="00423A7E" w:rsidRPr="00423A7E" w:rsidTr="00FC20D4">
        <w:trPr>
          <w:jc w:val="center"/>
        </w:trPr>
        <w:tc>
          <w:tcPr>
            <w:tcW w:w="4775" w:type="dxa"/>
          </w:tcPr>
          <w:p w:rsidR="00423A7E" w:rsidRPr="00C83F80" w:rsidRDefault="00423A7E" w:rsidP="00453890">
            <w:pPr>
              <w:jc w:val="center"/>
              <w:rPr>
                <w:sz w:val="24"/>
                <w:szCs w:val="24"/>
              </w:rPr>
            </w:pPr>
            <w:r w:rsidRPr="00C83F80">
              <w:rPr>
                <w:sz w:val="24"/>
                <w:szCs w:val="24"/>
              </w:rPr>
              <w:t>TỔNG LIÊN ĐOÀN LAO ĐỘNG VIỆT NAM</w:t>
            </w:r>
          </w:p>
        </w:tc>
        <w:tc>
          <w:tcPr>
            <w:tcW w:w="5118" w:type="dxa"/>
            <w:gridSpan w:val="3"/>
          </w:tcPr>
          <w:p w:rsidR="00423A7E" w:rsidRPr="00423A7E" w:rsidRDefault="00423A7E" w:rsidP="00453890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23A7E">
              <w:rPr>
                <w:b/>
                <w:spacing w:val="-20"/>
                <w:sz w:val="24"/>
                <w:szCs w:val="24"/>
              </w:rPr>
              <w:t>CỘNG HÒA XÃ HỘI CHỦ NGHĨA VIỆT NAM</w:t>
            </w:r>
          </w:p>
        </w:tc>
      </w:tr>
      <w:tr w:rsidR="00423A7E" w:rsidRPr="00423A7E" w:rsidTr="00FC20D4">
        <w:trPr>
          <w:jc w:val="center"/>
        </w:trPr>
        <w:tc>
          <w:tcPr>
            <w:tcW w:w="4775" w:type="dxa"/>
          </w:tcPr>
          <w:p w:rsidR="00423A7E" w:rsidRPr="00C83F80" w:rsidRDefault="00DA5DC4" w:rsidP="00453890">
            <w:pPr>
              <w:jc w:val="center"/>
              <w:rPr>
                <w:b/>
                <w:sz w:val="24"/>
                <w:szCs w:val="24"/>
              </w:rPr>
            </w:pPr>
            <w:r w:rsidRPr="00DA5DC4">
              <w:rPr>
                <w:noProof/>
                <w:sz w:val="24"/>
                <w:szCs w:val="24"/>
              </w:rPr>
              <w:pict>
                <v:line id="_x0000_s1029" style="position:absolute;left:0;text-align:left;z-index:251661312;mso-position-horizontal-relative:text;mso-position-vertical-relative:text" from="52.55pt,13.95pt" to="178.15pt,13.95pt"/>
              </w:pict>
            </w:r>
            <w:r w:rsidR="00423A7E" w:rsidRPr="00C83F80">
              <w:rPr>
                <w:b/>
                <w:sz w:val="24"/>
                <w:szCs w:val="24"/>
              </w:rPr>
              <w:t>CÔNG ĐOÀN CÔNG THƯƠNG VIỆT NAM</w:t>
            </w:r>
          </w:p>
        </w:tc>
        <w:tc>
          <w:tcPr>
            <w:tcW w:w="5118" w:type="dxa"/>
            <w:gridSpan w:val="3"/>
            <w:vAlign w:val="center"/>
          </w:tcPr>
          <w:p w:rsidR="00423A7E" w:rsidRPr="00453890" w:rsidRDefault="00423A7E" w:rsidP="004538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3890">
              <w:rPr>
                <w:b/>
                <w:sz w:val="28"/>
                <w:szCs w:val="28"/>
              </w:rPr>
              <w:t>Độc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b/>
                <w:sz w:val="28"/>
                <w:szCs w:val="28"/>
              </w:rPr>
              <w:t>lập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53890">
              <w:rPr>
                <w:b/>
                <w:sz w:val="28"/>
                <w:szCs w:val="28"/>
              </w:rPr>
              <w:t>Tự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453890">
              <w:rPr>
                <w:b/>
                <w:sz w:val="28"/>
                <w:szCs w:val="28"/>
              </w:rPr>
              <w:t>Hạnh</w:t>
            </w:r>
            <w:proofErr w:type="spellEnd"/>
            <w:r w:rsidRPr="004538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89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23A7E" w:rsidRPr="00423A7E" w:rsidTr="00FC20D4">
        <w:trPr>
          <w:trHeight w:val="75"/>
          <w:jc w:val="center"/>
        </w:trPr>
        <w:tc>
          <w:tcPr>
            <w:tcW w:w="4775" w:type="dxa"/>
          </w:tcPr>
          <w:p w:rsidR="00423A7E" w:rsidRPr="00423A7E" w:rsidRDefault="00423A7E" w:rsidP="00453890">
            <w:pPr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423A7E" w:rsidRPr="00423A7E" w:rsidRDefault="00DA5DC4" w:rsidP="00453890">
            <w:pPr>
              <w:rPr>
                <w:b/>
                <w:sz w:val="24"/>
                <w:szCs w:val="24"/>
              </w:rPr>
            </w:pPr>
            <w:r w:rsidRPr="00DA5DC4">
              <w:rPr>
                <w:noProof/>
                <w:sz w:val="28"/>
                <w:szCs w:val="28"/>
              </w:rPr>
              <w:pict>
                <v:line id="_x0000_s1028" style="position:absolute;flip:y;z-index:251660288;mso-position-horizontal-relative:text;mso-position-vertical-relative:text" from="49.1pt,1.3pt" to="206.8pt,1.3pt"/>
              </w:pict>
            </w:r>
          </w:p>
        </w:tc>
      </w:tr>
      <w:tr w:rsidR="00423A7E" w:rsidRPr="00453890" w:rsidTr="00FC20D4">
        <w:trPr>
          <w:jc w:val="center"/>
        </w:trPr>
        <w:tc>
          <w:tcPr>
            <w:tcW w:w="4775" w:type="dxa"/>
          </w:tcPr>
          <w:p w:rsidR="00423A7E" w:rsidRPr="00453890" w:rsidRDefault="00AC49F7" w:rsidP="000C3359">
            <w:pPr>
              <w:spacing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Số: </w:t>
            </w:r>
            <w:r w:rsidR="000C3359">
              <w:rPr>
                <w:noProof/>
                <w:sz w:val="28"/>
                <w:szCs w:val="28"/>
              </w:rPr>
              <w:t>612</w:t>
            </w:r>
            <w:r w:rsidR="002A3A62">
              <w:rPr>
                <w:noProof/>
                <w:sz w:val="28"/>
                <w:szCs w:val="28"/>
              </w:rPr>
              <w:t xml:space="preserve"> /HD</w:t>
            </w:r>
            <w:r w:rsidR="00423A7E" w:rsidRPr="00453890">
              <w:rPr>
                <w:noProof/>
                <w:sz w:val="28"/>
                <w:szCs w:val="28"/>
              </w:rPr>
              <w:t>-CĐCT</w:t>
            </w:r>
          </w:p>
        </w:tc>
        <w:tc>
          <w:tcPr>
            <w:tcW w:w="5118" w:type="dxa"/>
            <w:gridSpan w:val="3"/>
          </w:tcPr>
          <w:p w:rsidR="00423A7E" w:rsidRPr="00453890" w:rsidRDefault="00AC49F7" w:rsidP="000C3359">
            <w:pPr>
              <w:spacing w:after="12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0C3359">
              <w:rPr>
                <w:i/>
                <w:sz w:val="28"/>
                <w:szCs w:val="28"/>
              </w:rPr>
              <w:t>25</w:t>
            </w:r>
            <w:r w:rsidR="00423A7E" w:rsidRPr="00453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23A7E" w:rsidRPr="00453890">
              <w:rPr>
                <w:i/>
                <w:sz w:val="28"/>
                <w:szCs w:val="28"/>
              </w:rPr>
              <w:t>tháng</w:t>
            </w:r>
            <w:proofErr w:type="spellEnd"/>
            <w:r w:rsidR="00423A7E" w:rsidRPr="00453890">
              <w:rPr>
                <w:i/>
                <w:sz w:val="28"/>
                <w:szCs w:val="28"/>
              </w:rPr>
              <w:t xml:space="preserve"> </w:t>
            </w:r>
            <w:r w:rsidR="005A5290">
              <w:rPr>
                <w:i/>
                <w:sz w:val="28"/>
                <w:szCs w:val="28"/>
              </w:rPr>
              <w:t>1</w:t>
            </w:r>
            <w:r w:rsidR="002A3A62">
              <w:rPr>
                <w:i/>
                <w:sz w:val="28"/>
                <w:szCs w:val="28"/>
              </w:rPr>
              <w:t>2</w:t>
            </w:r>
            <w:r w:rsidR="00423A7E" w:rsidRPr="00453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23A7E" w:rsidRPr="00453890">
              <w:rPr>
                <w:i/>
                <w:sz w:val="28"/>
                <w:szCs w:val="28"/>
              </w:rPr>
              <w:t>năm</w:t>
            </w:r>
            <w:proofErr w:type="spellEnd"/>
            <w:r w:rsidR="00423A7E" w:rsidRPr="00453890">
              <w:rPr>
                <w:i/>
                <w:sz w:val="28"/>
                <w:szCs w:val="28"/>
              </w:rPr>
              <w:t xml:space="preserve"> 2014</w:t>
            </w:r>
          </w:p>
        </w:tc>
      </w:tr>
      <w:tr w:rsidR="00FC20D4" w:rsidTr="00FC20D4">
        <w:trPr>
          <w:gridAfter w:val="1"/>
          <w:wAfter w:w="317" w:type="dxa"/>
          <w:trHeight w:val="609"/>
          <w:jc w:val="center"/>
        </w:trPr>
        <w:tc>
          <w:tcPr>
            <w:tcW w:w="4823" w:type="dxa"/>
            <w:gridSpan w:val="2"/>
            <w:hideMark/>
          </w:tcPr>
          <w:p w:rsidR="00FC20D4" w:rsidRDefault="00FC20D4" w:rsidP="00FC20D4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53" w:type="dxa"/>
          </w:tcPr>
          <w:p w:rsidR="00FC20D4" w:rsidRDefault="00FC20D4">
            <w:pPr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A3A62" w:rsidRPr="002A3A62" w:rsidRDefault="002A3A62" w:rsidP="00FC20D4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2A3A62">
        <w:rPr>
          <w:rFonts w:ascii="Times New Roman" w:hAnsi="Times New Roman"/>
          <w:b/>
          <w:spacing w:val="-10"/>
          <w:sz w:val="28"/>
          <w:szCs w:val="28"/>
        </w:rPr>
        <w:t>HƯỚNG DẪN</w:t>
      </w:r>
    </w:p>
    <w:p w:rsidR="002A3A62" w:rsidRPr="002A3A62" w:rsidRDefault="002A3A62" w:rsidP="00FC20D4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Công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tác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tuyên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truyền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thực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hiện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Chương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trình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“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Nâng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cao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trình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độ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, </w:t>
      </w:r>
    </w:p>
    <w:p w:rsidR="00FC20D4" w:rsidRDefault="002A3A62" w:rsidP="00FC20D4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 w:rsidRPr="002A3A62">
        <w:rPr>
          <w:rFonts w:ascii="Times New Roman" w:hAnsi="Times New Roman"/>
          <w:b/>
          <w:spacing w:val="-10"/>
          <w:sz w:val="28"/>
          <w:szCs w:val="28"/>
        </w:rPr>
        <w:t>kỹ</w:t>
      </w:r>
      <w:proofErr w:type="spellEnd"/>
      <w:proofErr w:type="gram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năng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nghề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nghiệp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của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đoàn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viên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và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người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lao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2A3A62">
        <w:rPr>
          <w:rFonts w:ascii="Times New Roman" w:hAnsi="Times New Roman"/>
          <w:b/>
          <w:spacing w:val="-10"/>
          <w:sz w:val="28"/>
          <w:szCs w:val="28"/>
        </w:rPr>
        <w:t>động</w:t>
      </w:r>
      <w:proofErr w:type="spellEnd"/>
      <w:r w:rsidRPr="002A3A62">
        <w:rPr>
          <w:rFonts w:ascii="Times New Roman" w:hAnsi="Times New Roman"/>
          <w:b/>
          <w:spacing w:val="-10"/>
          <w:sz w:val="28"/>
          <w:szCs w:val="28"/>
        </w:rPr>
        <w:t>”</w:t>
      </w:r>
      <w:r w:rsidR="00FC20D4">
        <w:rPr>
          <w:rFonts w:ascii="Times New Roman" w:hAnsi="Times New Roman"/>
          <w:spacing w:val="-10"/>
          <w:sz w:val="28"/>
          <w:szCs w:val="28"/>
        </w:rPr>
        <w:t xml:space="preserve">         </w:t>
      </w:r>
    </w:p>
    <w:p w:rsidR="00FC20D4" w:rsidRDefault="00FC20D4" w:rsidP="00FC20D4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</w:p>
    <w:p w:rsidR="00D31738" w:rsidRDefault="002A3A62" w:rsidP="00D31738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</w:t>
      </w:r>
      <w:r w:rsidR="00D31738"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 w:rsidR="00423A7E" w:rsidRPr="00423A7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23A7E"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A7E" w:rsidRPr="00423A7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23A7E" w:rsidRPr="0042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1762/HD-</w:t>
      </w:r>
      <w:r w:rsidR="00FC20D4">
        <w:rPr>
          <w:rFonts w:ascii="Times New Roman" w:hAnsi="Times New Roman" w:cs="Times New Roman"/>
          <w:sz w:val="28"/>
          <w:szCs w:val="28"/>
        </w:rPr>
        <w:t xml:space="preserve">TLĐ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C20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C2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3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Chương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“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 w:rsidRPr="00D31738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D31738" w:rsidRPr="00D31738">
        <w:rPr>
          <w:rFonts w:ascii="Times New Roman" w:hAnsi="Times New Roman"/>
          <w:spacing w:val="-10"/>
          <w:sz w:val="28"/>
          <w:szCs w:val="28"/>
        </w:rPr>
        <w:t>”</w:t>
      </w:r>
      <w:r w:rsidR="00D31738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việc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Chương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có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hiệu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quả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Nam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hướng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dẫn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tác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tuyên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truyền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Chương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như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pacing w:val="-10"/>
          <w:sz w:val="28"/>
          <w:szCs w:val="28"/>
        </w:rPr>
        <w:t>sau</w:t>
      </w:r>
      <w:proofErr w:type="spellEnd"/>
      <w:r w:rsidR="00D31738">
        <w:rPr>
          <w:rFonts w:ascii="Times New Roman" w:hAnsi="Times New Roman"/>
          <w:spacing w:val="-10"/>
          <w:sz w:val="28"/>
          <w:szCs w:val="28"/>
        </w:rPr>
        <w:t>:</w:t>
      </w:r>
    </w:p>
    <w:p w:rsidR="00D31738" w:rsidRPr="00D31738" w:rsidRDefault="00D31738" w:rsidP="00D31738">
      <w:pPr>
        <w:spacing w:after="12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D31738">
        <w:rPr>
          <w:rFonts w:ascii="Times New Roman" w:hAnsi="Times New Roman"/>
          <w:b/>
          <w:spacing w:val="-10"/>
          <w:sz w:val="24"/>
          <w:szCs w:val="24"/>
        </w:rPr>
        <w:t>I. MỤC ĐÍCH YÊU CẦU</w:t>
      </w:r>
    </w:p>
    <w:p w:rsidR="00D31738" w:rsidRDefault="00D31738" w:rsidP="00905F3A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D31738">
        <w:rPr>
          <w:rFonts w:ascii="Times New Roman" w:hAnsi="Times New Roman"/>
          <w:b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Tạo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chuyển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biến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tích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sử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dụng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trách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nhiệm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trong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tiếp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tục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tốt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phong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trào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Pr="00D3173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31738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D31738" w:rsidRDefault="00D31738" w:rsidP="00905F3A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D31738">
        <w:rPr>
          <w:rFonts w:ascii="Times New Roman" w:hAnsi="Times New Roman"/>
          <w:b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Tuyên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tuyền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vận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thấy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rõ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vừa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quyền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lợi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vừa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yêu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cầu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đảm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bảo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vừa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trách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nhiệm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đối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với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đất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nước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D31738" w:rsidRDefault="00D31738" w:rsidP="00905F3A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751014">
        <w:rPr>
          <w:rFonts w:ascii="Times New Roman" w:hAnsi="Times New Roman"/>
          <w:b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xã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hội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từng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bước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trí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thức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hóa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giai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giai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ngày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càng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vững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mạnh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xứng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đáng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là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giai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tiên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phong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lực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lượng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đi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đầu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trong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sự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hóa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đại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hóa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đất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>
        <w:rPr>
          <w:rFonts w:ascii="Times New Roman" w:hAnsi="Times New Roman"/>
          <w:spacing w:val="-10"/>
          <w:sz w:val="28"/>
          <w:szCs w:val="28"/>
        </w:rPr>
        <w:t>nước</w:t>
      </w:r>
      <w:proofErr w:type="spellEnd"/>
      <w:r w:rsidR="00905F3A">
        <w:rPr>
          <w:rFonts w:ascii="Times New Roman" w:hAnsi="Times New Roman"/>
          <w:spacing w:val="-10"/>
          <w:sz w:val="28"/>
          <w:szCs w:val="28"/>
        </w:rPr>
        <w:t>.</w:t>
      </w:r>
    </w:p>
    <w:p w:rsidR="00905F3A" w:rsidRDefault="00905F3A" w:rsidP="00905F3A">
      <w:pPr>
        <w:spacing w:after="12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905F3A">
        <w:rPr>
          <w:rFonts w:ascii="Times New Roman" w:hAnsi="Times New Roman"/>
          <w:b/>
          <w:spacing w:val="-10"/>
          <w:sz w:val="24"/>
          <w:szCs w:val="24"/>
        </w:rPr>
        <w:t>II. NHIỆM VỤ, GIẢI PHÁP</w:t>
      </w:r>
    </w:p>
    <w:p w:rsidR="00905F3A" w:rsidRDefault="000112FC" w:rsidP="000112FC">
      <w:pPr>
        <w:spacing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112FC">
        <w:rPr>
          <w:rFonts w:ascii="Times New Roman" w:hAnsi="Times New Roman"/>
          <w:b/>
          <w:spacing w:val="-10"/>
          <w:sz w:val="28"/>
          <w:szCs w:val="28"/>
        </w:rPr>
        <w:t>1.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Đẩy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mạnh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tác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tuyên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truyền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chủ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trương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Đảng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pháp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luật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Nhà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905F3A" w:rsidRPr="000112FC">
        <w:rPr>
          <w:rFonts w:ascii="Times New Roman" w:hAnsi="Times New Roman"/>
          <w:spacing w:val="-10"/>
          <w:sz w:val="28"/>
          <w:szCs w:val="28"/>
        </w:rPr>
        <w:t>nước</w:t>
      </w:r>
      <w:proofErr w:type="spellEnd"/>
      <w:r w:rsidR="00905F3A" w:rsidRPr="000112FC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Nghị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quyết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Pr="000112F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112FC">
        <w:rPr>
          <w:rFonts w:ascii="Times New Roman" w:hAnsi="Times New Roman"/>
          <w:spacing w:val="-10"/>
          <w:sz w:val="28"/>
          <w:szCs w:val="28"/>
        </w:rPr>
        <w:t>đoàn</w:t>
      </w:r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huấn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chốt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nắm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vững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pháp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đấu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đến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từ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60%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trở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số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được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được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tham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0112FC" w:rsidRDefault="000112FC" w:rsidP="000112FC">
      <w:pPr>
        <w:spacing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112FC">
        <w:rPr>
          <w:rFonts w:ascii="Times New Roman" w:hAnsi="Times New Roman"/>
          <w:b/>
          <w:spacing w:val="-10"/>
          <w:sz w:val="28"/>
          <w:szCs w:val="28"/>
        </w:rPr>
        <w:t>2.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điều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khảo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sát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đánh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giá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từ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kết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quả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điều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khảo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sát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cứ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hoạch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nguồn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hợp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triển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0112FC" w:rsidRDefault="000112FC" w:rsidP="000112FC">
      <w:pPr>
        <w:spacing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lượng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đối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thoại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với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sử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dụng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vụ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lastRenderedPageBreak/>
        <w:t>Đưa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nội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dung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vào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nội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dung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nghị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quyết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hội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nghị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nôi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quy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quy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chế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doanh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là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một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trong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tiêu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chí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bình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xét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thi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đua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hàng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CA4647">
        <w:rPr>
          <w:rFonts w:ascii="Times New Roman" w:hAnsi="Times New Roman"/>
          <w:spacing w:val="-10"/>
          <w:sz w:val="28"/>
          <w:szCs w:val="28"/>
        </w:rPr>
        <w:t>năm</w:t>
      </w:r>
      <w:proofErr w:type="spellEnd"/>
      <w:r w:rsidR="00CA4647">
        <w:rPr>
          <w:rFonts w:ascii="Times New Roman" w:hAnsi="Times New Roman"/>
          <w:spacing w:val="-10"/>
          <w:sz w:val="28"/>
          <w:szCs w:val="28"/>
        </w:rPr>
        <w:t>.</w:t>
      </w:r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="00B22456">
        <w:rPr>
          <w:rFonts w:ascii="Times New Roman" w:hAnsi="Times New Roman"/>
          <w:spacing w:val="-10"/>
          <w:sz w:val="28"/>
          <w:szCs w:val="28"/>
        </w:rPr>
        <w:t>Phối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hợp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với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chuyên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môn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đẩy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mạnh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phong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trào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“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Ôn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lý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thuyết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luyện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tay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thi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thợ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giỏi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”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hàng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năm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>.</w:t>
      </w:r>
      <w:proofErr w:type="gram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CA4647" w:rsidRDefault="00CA4647" w:rsidP="000112FC">
      <w:pPr>
        <w:spacing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A4647">
        <w:rPr>
          <w:rFonts w:ascii="Times New Roman" w:hAnsi="Times New Roman"/>
          <w:b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hoạch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án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hội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đoạn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2012 – 2020”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Quyết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định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số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89/QĐ-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TTg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ngày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09/01/2013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</w:t>
      </w:r>
      <w:r w:rsidR="000A376B">
        <w:rPr>
          <w:rFonts w:ascii="Times New Roman" w:hAnsi="Times New Roman"/>
          <w:spacing w:val="-10"/>
          <w:sz w:val="28"/>
          <w:szCs w:val="28"/>
        </w:rPr>
        <w:t>ủa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Thủ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tướng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Chính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phủ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CA4647" w:rsidRPr="000112FC" w:rsidRDefault="00CA4647" w:rsidP="000112FC">
      <w:pPr>
        <w:spacing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A4647">
        <w:rPr>
          <w:rFonts w:ascii="Times New Roman" w:hAnsi="Times New Roman"/>
          <w:b/>
          <w:spacing w:val="-10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Tiếp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tục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quả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Nghị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quyết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4b/NQ-BCH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ngày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06/01/2005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Ban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Chấp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hành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Tổng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Liên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Lao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Nam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khóa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IX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“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với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nhiệm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vụ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đáp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ứng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yêu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cầu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sự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hóa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dại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hóa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đất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456">
        <w:rPr>
          <w:rFonts w:ascii="Times New Roman" w:hAnsi="Times New Roman"/>
          <w:spacing w:val="-10"/>
          <w:sz w:val="28"/>
          <w:szCs w:val="28"/>
        </w:rPr>
        <w:t>nước</w:t>
      </w:r>
      <w:proofErr w:type="spellEnd"/>
      <w:r w:rsidR="00B22456">
        <w:rPr>
          <w:rFonts w:ascii="Times New Roman" w:hAnsi="Times New Roman"/>
          <w:spacing w:val="-10"/>
          <w:sz w:val="28"/>
          <w:szCs w:val="28"/>
        </w:rPr>
        <w:t>.</w:t>
      </w:r>
    </w:p>
    <w:p w:rsidR="00D31738" w:rsidRDefault="00B22456" w:rsidP="00905F3A">
      <w:pPr>
        <w:spacing w:after="12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ab/>
        <w:t>III. TỔ CHỨC THỰC HIỆN</w:t>
      </w:r>
    </w:p>
    <w:p w:rsidR="00B22456" w:rsidRDefault="00283A02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AD1D6B">
        <w:rPr>
          <w:rFonts w:ascii="Times New Roman" w:hAnsi="Times New Roman"/>
          <w:b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</w:t>
      </w:r>
      <w:r w:rsidRPr="00283A02">
        <w:rPr>
          <w:rFonts w:ascii="Times New Roman" w:hAnsi="Times New Roman"/>
          <w:spacing w:val="-10"/>
          <w:sz w:val="28"/>
          <w:szCs w:val="28"/>
        </w:rPr>
        <w:t>ác</w:t>
      </w:r>
      <w:proofErr w:type="spellEnd"/>
      <w:r w:rsidRPr="00283A0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83A02"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 w:rsidRPr="00283A0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83A02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Pr="00283A0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283A02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Pr="00283A0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thống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kê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nhật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số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liệu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tay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nhận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thức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</w:t>
      </w:r>
      <w:r w:rsidR="00AC49F7">
        <w:rPr>
          <w:rFonts w:ascii="Times New Roman" w:hAnsi="Times New Roman"/>
          <w:spacing w:val="-10"/>
          <w:sz w:val="28"/>
          <w:szCs w:val="28"/>
        </w:rPr>
        <w:t>h</w:t>
      </w:r>
      <w:r w:rsidR="00F02EA7">
        <w:rPr>
          <w:rFonts w:ascii="Times New Roman" w:hAnsi="Times New Roman"/>
          <w:spacing w:val="-10"/>
          <w:sz w:val="28"/>
          <w:szCs w:val="28"/>
        </w:rPr>
        <w:t>ính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trị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nhu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cầu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củ</w:t>
      </w:r>
      <w:r w:rsidR="00AC49F7">
        <w:rPr>
          <w:rFonts w:ascii="Times New Roman" w:hAnsi="Times New Roman"/>
          <w:spacing w:val="-10"/>
          <w:sz w:val="28"/>
          <w:szCs w:val="28"/>
        </w:rPr>
        <w:t>a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cần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phải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đào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tạo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đào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tạo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lại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bồi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dưỡng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chuyên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môn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vụ</w:t>
      </w:r>
      <w:proofErr w:type="spellEnd"/>
      <w:proofErr w:type="gramStart"/>
      <w:r w:rsidR="00F02EA7">
        <w:rPr>
          <w:rFonts w:ascii="Times New Roman" w:hAnsi="Times New Roman"/>
          <w:spacing w:val="-10"/>
          <w:sz w:val="28"/>
          <w:szCs w:val="28"/>
        </w:rPr>
        <w:t xml:space="preserve">, 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ngoại</w:t>
      </w:r>
      <w:proofErr w:type="spellEnd"/>
      <w:proofErr w:type="gram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ngữ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tin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tay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làm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xây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dựng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kế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hoạch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tham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gia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02EA7"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 w:rsidR="00F02EA7">
        <w:rPr>
          <w:rFonts w:ascii="Times New Roman" w:hAnsi="Times New Roman"/>
          <w:spacing w:val="-10"/>
          <w:sz w:val="28"/>
          <w:szCs w:val="28"/>
        </w:rPr>
        <w:t>.</w:t>
      </w:r>
    </w:p>
    <w:p w:rsidR="00F02EA7" w:rsidRDefault="00F02EA7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AD1D6B">
        <w:rPr>
          <w:rFonts w:ascii="Times New Roman" w:hAnsi="Times New Roman"/>
          <w:b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Phối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hợp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với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sử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dụng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triển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nhiệm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vụ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F02EA7" w:rsidRDefault="00F02EA7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AD1D6B">
        <w:rPr>
          <w:rFonts w:ascii="Times New Roman" w:hAnsi="Times New Roman"/>
          <w:b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Tuyên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truyền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vận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tham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nâng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độ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vấn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vì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suất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chất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lượng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quả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thu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nhập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chính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người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lao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AD1D6B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="00AD1D6B">
        <w:rPr>
          <w:rFonts w:ascii="Times New Roman" w:hAnsi="Times New Roman"/>
          <w:spacing w:val="-10"/>
          <w:sz w:val="28"/>
          <w:szCs w:val="28"/>
        </w:rPr>
        <w:t>.</w:t>
      </w:r>
    </w:p>
    <w:p w:rsidR="00AD1D6B" w:rsidRDefault="00AD1D6B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AD1D6B">
        <w:rPr>
          <w:rFonts w:ascii="Times New Roman" w:hAnsi="Times New Roman"/>
          <w:b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Tiếp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tục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đẩy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mạnh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phong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trào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Ôn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lý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thuyết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luyện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tay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thợ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giỏi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hàng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năm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doanh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D1D6B" w:rsidRDefault="00AD1D6B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D6B" w:rsidRPr="00283A02" w:rsidRDefault="00AD1D6B" w:rsidP="00283A02">
      <w:pPr>
        <w:spacing w:after="12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nghị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cấp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tiếp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thuộc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cứ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hướng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dẫn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triển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báo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cáo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kết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quả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Thương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Việt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Nam (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theo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biểu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mẫu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đính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kèm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trước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ngày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30/5/2015 (qua Ban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Tuyên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giáo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).</w:t>
      </w:r>
    </w:p>
    <w:p w:rsidR="006B74B3" w:rsidRDefault="006B74B3" w:rsidP="006B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Layout w:type="fixed"/>
        <w:tblLook w:val="04A0"/>
      </w:tblPr>
      <w:tblGrid>
        <w:gridCol w:w="5070"/>
        <w:gridCol w:w="4394"/>
        <w:gridCol w:w="9"/>
      </w:tblGrid>
      <w:tr w:rsidR="00170F2D" w:rsidRPr="008B753D" w:rsidTr="00203D85">
        <w:trPr>
          <w:gridAfter w:val="1"/>
          <w:wAfter w:w="9" w:type="dxa"/>
        </w:trPr>
        <w:tc>
          <w:tcPr>
            <w:tcW w:w="5070" w:type="dxa"/>
          </w:tcPr>
          <w:p w:rsidR="00170F2D" w:rsidRPr="00E76527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F45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70F2D" w:rsidRDefault="005337B1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70F2D">
              <w:rPr>
                <w:rFonts w:ascii="Times New Roman" w:hAnsi="Times New Roman" w:cs="Times New Roman"/>
              </w:rPr>
              <w:t>Tổng</w:t>
            </w:r>
            <w:proofErr w:type="spellEnd"/>
            <w:r w:rsidR="00170F2D">
              <w:rPr>
                <w:rFonts w:ascii="Times New Roman" w:hAnsi="Times New Roman" w:cs="Times New Roman"/>
              </w:rPr>
              <w:t xml:space="preserve"> LĐLĐVN (</w:t>
            </w:r>
            <w:proofErr w:type="spellStart"/>
            <w:r w:rsidR="00170F2D">
              <w:rPr>
                <w:rFonts w:ascii="Times New Roman" w:hAnsi="Times New Roman" w:cs="Times New Roman"/>
              </w:rPr>
              <w:t>để</w:t>
            </w:r>
            <w:proofErr w:type="spellEnd"/>
            <w:r w:rsidR="00170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</w:rPr>
              <w:t>báo</w:t>
            </w:r>
            <w:proofErr w:type="spellEnd"/>
            <w:r w:rsidR="00170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</w:rPr>
              <w:t>cáo</w:t>
            </w:r>
            <w:proofErr w:type="spellEnd"/>
            <w:r w:rsidR="00170F2D">
              <w:rPr>
                <w:rFonts w:ascii="Times New Roman" w:hAnsi="Times New Roman" w:cs="Times New Roman"/>
              </w:rPr>
              <w:t>);</w:t>
            </w:r>
          </w:p>
          <w:p w:rsidR="00905F3A" w:rsidRDefault="00905F3A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CĐCTVN;</w:t>
            </w:r>
          </w:p>
          <w:p w:rsidR="00905F3A" w:rsidRDefault="00905F3A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9F7">
              <w:rPr>
                <w:rFonts w:ascii="Times New Roman" w:hAnsi="Times New Roman" w:cs="Times New Roman"/>
              </w:rPr>
              <w:t>trự</w:t>
            </w:r>
            <w:proofErr w:type="spellEnd"/>
            <w:r w:rsidR="00AC4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9F7">
              <w:rPr>
                <w:rFonts w:ascii="Times New Roman" w:hAnsi="Times New Roman" w:cs="Times New Roman"/>
              </w:rPr>
              <w:t>tiếp</w:t>
            </w:r>
            <w:proofErr w:type="spellEnd"/>
            <w:r w:rsidR="00AC4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05F3A" w:rsidRDefault="00905F3A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CĐCTVN;</w:t>
            </w:r>
          </w:p>
          <w:p w:rsidR="00170F2D" w:rsidRDefault="00905F3A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</w:t>
            </w:r>
            <w:r>
              <w:rPr>
                <w:rFonts w:ascii="Times New Roman" w:hAnsi="Times New Roman" w:cs="Times New Roman"/>
              </w:rPr>
              <w:softHyphen/>
              <w:t>u</w:t>
            </w:r>
            <w:proofErr w:type="spellEnd"/>
            <w:r>
              <w:rPr>
                <w:rFonts w:ascii="Times New Roman" w:hAnsi="Times New Roman" w:cs="Times New Roman"/>
              </w:rPr>
              <w:t>: TG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170F2D" w:rsidRPr="008B753D">
              <w:rPr>
                <w:rFonts w:ascii="Times New Roman" w:hAnsi="Times New Roman" w:cs="Times New Roman"/>
              </w:rPr>
              <w:t>VP</w:t>
            </w:r>
            <w:proofErr w:type="gramEnd"/>
            <w:r w:rsidR="00170F2D" w:rsidRPr="008B753D">
              <w:rPr>
                <w:rFonts w:ascii="Times New Roman" w:hAnsi="Times New Roman" w:cs="Times New Roman"/>
              </w:rPr>
              <w:t>.</w:t>
            </w:r>
            <w:r w:rsidR="00170F2D" w:rsidRPr="008B753D">
              <w:rPr>
                <w:rFonts w:ascii="Times New Roman" w:hAnsi="Times New Roman" w:cs="Times New Roman"/>
              </w:rPr>
              <w:tab/>
            </w:r>
          </w:p>
          <w:p w:rsidR="00170F2D" w:rsidRPr="008B753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170F2D" w:rsidRPr="008B753D" w:rsidRDefault="00170F2D" w:rsidP="00CB5B3E">
            <w:pPr>
              <w:spacing w:after="0" w:line="240" w:lineRule="auto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394" w:type="dxa"/>
          </w:tcPr>
          <w:p w:rsidR="00170F2D" w:rsidRPr="0059447F" w:rsidRDefault="00170F2D" w:rsidP="00CB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TM. BAN THƯỜNG VỤ</w:t>
            </w:r>
          </w:p>
          <w:p w:rsidR="00170F2D" w:rsidRDefault="00170F2D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9447F">
              <w:rPr>
                <w:rFonts w:ascii="Times New Roman" w:hAnsi="Times New Roman" w:cs="Times New Roman"/>
                <w:b/>
                <w:sz w:val="26"/>
                <w:szCs w:val="28"/>
              </w:rPr>
              <w:t>PHÓ CHỦ TỊCH</w:t>
            </w: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Default="000C3359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)</w:t>
            </w:r>
          </w:p>
          <w:p w:rsidR="004724BF" w:rsidRDefault="004724BF" w:rsidP="004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4724BF" w:rsidRPr="004724BF" w:rsidRDefault="004724BF" w:rsidP="004724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170F2D" w:rsidRPr="008B753D" w:rsidTr="00203D85">
        <w:tc>
          <w:tcPr>
            <w:tcW w:w="5070" w:type="dxa"/>
          </w:tcPr>
          <w:p w:rsidR="00170F2D" w:rsidRDefault="00170F2D" w:rsidP="00CB5B3E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3" w:type="dxa"/>
            <w:gridSpan w:val="2"/>
          </w:tcPr>
          <w:p w:rsidR="00170F2D" w:rsidRDefault="009A5778" w:rsidP="00472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0F2D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</w:p>
        </w:tc>
      </w:tr>
    </w:tbl>
    <w:p w:rsidR="00EF0B07" w:rsidRPr="000C3359" w:rsidRDefault="00EF0B07" w:rsidP="000C335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EF0B07" w:rsidRPr="000C3359" w:rsidSect="004724B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6D"/>
    <w:multiLevelType w:val="hybridMultilevel"/>
    <w:tmpl w:val="AA9E219A"/>
    <w:lvl w:ilvl="0" w:tplc="04F81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54589"/>
    <w:multiLevelType w:val="hybridMultilevel"/>
    <w:tmpl w:val="1A0E03B4"/>
    <w:lvl w:ilvl="0" w:tplc="80A4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2257"/>
    <w:multiLevelType w:val="hybridMultilevel"/>
    <w:tmpl w:val="72C6B52C"/>
    <w:lvl w:ilvl="0" w:tplc="851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165DD"/>
    <w:multiLevelType w:val="hybridMultilevel"/>
    <w:tmpl w:val="C5142BEE"/>
    <w:lvl w:ilvl="0" w:tplc="B23A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94948"/>
    <w:multiLevelType w:val="hybridMultilevel"/>
    <w:tmpl w:val="38C2F19A"/>
    <w:lvl w:ilvl="0" w:tplc="CC6E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25FB0"/>
    <w:multiLevelType w:val="hybridMultilevel"/>
    <w:tmpl w:val="DA023728"/>
    <w:lvl w:ilvl="0" w:tplc="2368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D4EE0"/>
    <w:multiLevelType w:val="hybridMultilevel"/>
    <w:tmpl w:val="379E21CE"/>
    <w:lvl w:ilvl="0" w:tplc="CEAC1AEC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C6D02"/>
    <w:multiLevelType w:val="hybridMultilevel"/>
    <w:tmpl w:val="B75A7C58"/>
    <w:lvl w:ilvl="0" w:tplc="7444E5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915F2"/>
    <w:multiLevelType w:val="hybridMultilevel"/>
    <w:tmpl w:val="93300D5A"/>
    <w:lvl w:ilvl="0" w:tplc="E05C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44D8E"/>
    <w:multiLevelType w:val="hybridMultilevel"/>
    <w:tmpl w:val="F628F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2A5AD0"/>
    <w:multiLevelType w:val="hybridMultilevel"/>
    <w:tmpl w:val="799CCA78"/>
    <w:lvl w:ilvl="0" w:tplc="A4E8E4A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B60613"/>
    <w:multiLevelType w:val="hybridMultilevel"/>
    <w:tmpl w:val="0E763D2E"/>
    <w:lvl w:ilvl="0" w:tplc="124EA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739C0"/>
    <w:multiLevelType w:val="hybridMultilevel"/>
    <w:tmpl w:val="2F9A804C"/>
    <w:lvl w:ilvl="0" w:tplc="B0240B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77B73"/>
    <w:multiLevelType w:val="hybridMultilevel"/>
    <w:tmpl w:val="4544A788"/>
    <w:lvl w:ilvl="0" w:tplc="334A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90932"/>
    <w:multiLevelType w:val="hybridMultilevel"/>
    <w:tmpl w:val="67A6A2C2"/>
    <w:lvl w:ilvl="0" w:tplc="19D6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23A7E"/>
    <w:rsid w:val="000112FC"/>
    <w:rsid w:val="00084147"/>
    <w:rsid w:val="00084E93"/>
    <w:rsid w:val="000A376B"/>
    <w:rsid w:val="000C3359"/>
    <w:rsid w:val="000E4419"/>
    <w:rsid w:val="00170F2D"/>
    <w:rsid w:val="001765C6"/>
    <w:rsid w:val="002221D0"/>
    <w:rsid w:val="00255929"/>
    <w:rsid w:val="00283A02"/>
    <w:rsid w:val="00284380"/>
    <w:rsid w:val="002A3A62"/>
    <w:rsid w:val="00394600"/>
    <w:rsid w:val="003D4AFF"/>
    <w:rsid w:val="0042259A"/>
    <w:rsid w:val="00423A7E"/>
    <w:rsid w:val="00453890"/>
    <w:rsid w:val="004724BF"/>
    <w:rsid w:val="00495B8C"/>
    <w:rsid w:val="004A2062"/>
    <w:rsid w:val="004F0A78"/>
    <w:rsid w:val="005337B1"/>
    <w:rsid w:val="00596A0A"/>
    <w:rsid w:val="005A5290"/>
    <w:rsid w:val="0061799D"/>
    <w:rsid w:val="00622236"/>
    <w:rsid w:val="00633B86"/>
    <w:rsid w:val="00646CB4"/>
    <w:rsid w:val="006817DE"/>
    <w:rsid w:val="00681E3A"/>
    <w:rsid w:val="0069517E"/>
    <w:rsid w:val="006B74B3"/>
    <w:rsid w:val="007049AB"/>
    <w:rsid w:val="00732D9F"/>
    <w:rsid w:val="00751014"/>
    <w:rsid w:val="007538FF"/>
    <w:rsid w:val="00772331"/>
    <w:rsid w:val="007F465B"/>
    <w:rsid w:val="007F6134"/>
    <w:rsid w:val="008330D3"/>
    <w:rsid w:val="0085360E"/>
    <w:rsid w:val="008B4DE2"/>
    <w:rsid w:val="00905F3A"/>
    <w:rsid w:val="00921BF5"/>
    <w:rsid w:val="009316DD"/>
    <w:rsid w:val="0095415C"/>
    <w:rsid w:val="009A5778"/>
    <w:rsid w:val="009C0A9A"/>
    <w:rsid w:val="009C65C1"/>
    <w:rsid w:val="00A01E66"/>
    <w:rsid w:val="00A1752A"/>
    <w:rsid w:val="00A76C09"/>
    <w:rsid w:val="00AC49F7"/>
    <w:rsid w:val="00AD1D6B"/>
    <w:rsid w:val="00B22456"/>
    <w:rsid w:val="00B431C8"/>
    <w:rsid w:val="00B86682"/>
    <w:rsid w:val="00C2080B"/>
    <w:rsid w:val="00C4082A"/>
    <w:rsid w:val="00C83F80"/>
    <w:rsid w:val="00CA4647"/>
    <w:rsid w:val="00CB5B3E"/>
    <w:rsid w:val="00CF01EF"/>
    <w:rsid w:val="00D31738"/>
    <w:rsid w:val="00D51C64"/>
    <w:rsid w:val="00D949DB"/>
    <w:rsid w:val="00DA5DC4"/>
    <w:rsid w:val="00DB0790"/>
    <w:rsid w:val="00E14B9C"/>
    <w:rsid w:val="00E76527"/>
    <w:rsid w:val="00EE1A83"/>
    <w:rsid w:val="00EF0B07"/>
    <w:rsid w:val="00F02EA7"/>
    <w:rsid w:val="00F12203"/>
    <w:rsid w:val="00F36372"/>
    <w:rsid w:val="00F66F2A"/>
    <w:rsid w:val="00F81E81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An</dc:creator>
  <cp:lastModifiedBy>ts83dnk</cp:lastModifiedBy>
  <cp:revision>32</cp:revision>
  <cp:lastPrinted>2014-11-04T04:00:00Z</cp:lastPrinted>
  <dcterms:created xsi:type="dcterms:W3CDTF">2014-02-26T06:44:00Z</dcterms:created>
  <dcterms:modified xsi:type="dcterms:W3CDTF">2015-01-09T02:47:00Z</dcterms:modified>
</cp:coreProperties>
</file>